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06C12" w14:textId="7DCCD102" w:rsidR="001C3B05" w:rsidRPr="00705377" w:rsidRDefault="001A4BE2" w:rsidP="001A4BE2">
      <w:pPr>
        <w:jc w:val="center"/>
        <w:rPr>
          <w:b/>
          <w:bCs/>
          <w:sz w:val="28"/>
          <w:szCs w:val="24"/>
        </w:rPr>
      </w:pPr>
      <w:r w:rsidRPr="00705377">
        <w:rPr>
          <w:b/>
          <w:bCs/>
          <w:sz w:val="28"/>
          <w:szCs w:val="24"/>
        </w:rPr>
        <w:t xml:space="preserve">DIPLOMA IN </w:t>
      </w:r>
      <w:r w:rsidR="00AD7881" w:rsidRPr="00705377">
        <w:rPr>
          <w:b/>
          <w:bCs/>
          <w:sz w:val="28"/>
          <w:szCs w:val="24"/>
        </w:rPr>
        <w:t xml:space="preserve">URBAN </w:t>
      </w:r>
      <w:r w:rsidRPr="00705377">
        <w:rPr>
          <w:b/>
          <w:bCs/>
          <w:sz w:val="28"/>
          <w:szCs w:val="24"/>
        </w:rPr>
        <w:t>COOPERATIVE BANKING</w:t>
      </w:r>
    </w:p>
    <w:tbl>
      <w:tblPr>
        <w:tblW w:w="10916" w:type="dxa"/>
        <w:tblInd w:w="-998" w:type="dxa"/>
        <w:tblLook w:val="04A0" w:firstRow="1" w:lastRow="0" w:firstColumn="1" w:lastColumn="0" w:noHBand="0" w:noVBand="1"/>
      </w:tblPr>
      <w:tblGrid>
        <w:gridCol w:w="1135"/>
        <w:gridCol w:w="9781"/>
      </w:tblGrid>
      <w:tr w:rsidR="001A4BE2" w:rsidRPr="001A4BE2" w14:paraId="631F3CB1" w14:textId="77777777" w:rsidTr="001A4BE2">
        <w:trPr>
          <w:trHeight w:val="394"/>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4A30" w14:textId="2DB330D8" w:rsidR="001A4BE2" w:rsidRPr="001A4BE2" w:rsidRDefault="001A4BE2" w:rsidP="001A4BE2">
            <w:pPr>
              <w:spacing w:after="0" w:line="240" w:lineRule="auto"/>
              <w:jc w:val="center"/>
              <w:rPr>
                <w:rFonts w:ascii="Calibri" w:eastAsia="Times New Roman" w:hAnsi="Calibri" w:cs="Calibri"/>
                <w:b/>
                <w:bCs/>
                <w:color w:val="000000"/>
                <w:kern w:val="0"/>
                <w:sz w:val="24"/>
                <w:szCs w:val="24"/>
                <w:lang w:eastAsia="en-IN"/>
                <w14:ligatures w14:val="none"/>
              </w:rPr>
            </w:pPr>
            <w:r w:rsidRPr="001A4BE2">
              <w:rPr>
                <w:rFonts w:ascii="Calibri" w:eastAsia="Times New Roman" w:hAnsi="Calibri" w:cs="Calibri"/>
                <w:b/>
                <w:bCs/>
                <w:color w:val="000000"/>
                <w:kern w:val="0"/>
                <w:sz w:val="24"/>
                <w:szCs w:val="24"/>
                <w:lang w:eastAsia="en-IN"/>
                <w14:ligatures w14:val="none"/>
              </w:rPr>
              <w:t>Sr. No.</w:t>
            </w:r>
          </w:p>
        </w:tc>
        <w:tc>
          <w:tcPr>
            <w:tcW w:w="9781" w:type="dxa"/>
            <w:tcBorders>
              <w:top w:val="single" w:sz="4" w:space="0" w:color="auto"/>
              <w:left w:val="nil"/>
              <w:bottom w:val="single" w:sz="4" w:space="0" w:color="auto"/>
              <w:right w:val="single" w:sz="4" w:space="0" w:color="auto"/>
            </w:tcBorders>
            <w:shd w:val="clear" w:color="auto" w:fill="auto"/>
            <w:vAlign w:val="center"/>
          </w:tcPr>
          <w:p w14:paraId="3163F79E" w14:textId="408FA83E" w:rsidR="001A4BE2" w:rsidRPr="001A4BE2" w:rsidRDefault="001A4BE2" w:rsidP="001A4BE2">
            <w:pPr>
              <w:spacing w:after="0" w:line="240" w:lineRule="auto"/>
              <w:jc w:val="center"/>
              <w:rPr>
                <w:rFonts w:ascii="Calibri" w:eastAsia="Times New Roman" w:hAnsi="Calibri" w:cs="Calibri"/>
                <w:b/>
                <w:bCs/>
                <w:color w:val="000000"/>
                <w:kern w:val="0"/>
                <w:sz w:val="24"/>
                <w:szCs w:val="24"/>
                <w:lang w:eastAsia="en-IN"/>
                <w14:ligatures w14:val="none"/>
              </w:rPr>
            </w:pPr>
            <w:r w:rsidRPr="001A4BE2">
              <w:rPr>
                <w:rFonts w:ascii="Calibri" w:eastAsia="Times New Roman" w:hAnsi="Calibri" w:cs="Calibri"/>
                <w:b/>
                <w:bCs/>
                <w:color w:val="000000"/>
                <w:kern w:val="0"/>
                <w:sz w:val="24"/>
                <w:szCs w:val="24"/>
                <w:lang w:eastAsia="en-IN"/>
                <w14:ligatures w14:val="none"/>
              </w:rPr>
              <w:t>RBI Notifications</w:t>
            </w:r>
          </w:p>
        </w:tc>
      </w:tr>
      <w:tr w:rsidR="001A4BE2" w:rsidRPr="001A4BE2" w14:paraId="2456A750" w14:textId="77777777" w:rsidTr="001A4BE2">
        <w:trPr>
          <w:trHeight w:val="474"/>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5D710" w14:textId="51D0A859"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9781" w:type="dxa"/>
            <w:tcBorders>
              <w:top w:val="single" w:sz="4" w:space="0" w:color="auto"/>
              <w:left w:val="nil"/>
              <w:bottom w:val="single" w:sz="4" w:space="0" w:color="auto"/>
              <w:right w:val="single" w:sz="4" w:space="0" w:color="auto"/>
            </w:tcBorders>
            <w:shd w:val="clear" w:color="auto" w:fill="auto"/>
            <w:vAlign w:val="center"/>
          </w:tcPr>
          <w:p w14:paraId="239849DF" w14:textId="029FC865"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Safe Deposit Locker/Safe Custody Article Facility provided by banks</w:t>
            </w:r>
          </w:p>
        </w:tc>
      </w:tr>
      <w:tr w:rsidR="001A4BE2" w:rsidRPr="001A4BE2" w14:paraId="31C0FFCA" w14:textId="77777777" w:rsidTr="001A4BE2">
        <w:trPr>
          <w:trHeight w:val="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0683967" w14:textId="545A5DA2"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781" w:type="dxa"/>
            <w:tcBorders>
              <w:top w:val="nil"/>
              <w:left w:val="nil"/>
              <w:bottom w:val="single" w:sz="4" w:space="0" w:color="auto"/>
              <w:right w:val="single" w:sz="4" w:space="0" w:color="auto"/>
            </w:tcBorders>
            <w:shd w:val="clear" w:color="auto" w:fill="auto"/>
            <w:vAlign w:val="center"/>
            <w:hideMark/>
          </w:tcPr>
          <w:p w14:paraId="796EFBDB"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Reserve Bank of India (Financial Statements - Presentation and Disclosures) Directions, 2021 - Disclosures for State Co-operative Banks and Central Co-operative Banks</w:t>
            </w:r>
          </w:p>
        </w:tc>
      </w:tr>
      <w:tr w:rsidR="001A4BE2" w:rsidRPr="001A4BE2" w14:paraId="0DF0588F" w14:textId="77777777" w:rsidTr="001A4BE2">
        <w:trPr>
          <w:trHeight w:val="57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421AC58" w14:textId="29C6FA2D"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3</w:t>
            </w:r>
          </w:p>
        </w:tc>
        <w:tc>
          <w:tcPr>
            <w:tcW w:w="9781" w:type="dxa"/>
            <w:tcBorders>
              <w:top w:val="nil"/>
              <w:left w:val="nil"/>
              <w:bottom w:val="single" w:sz="4" w:space="0" w:color="auto"/>
              <w:right w:val="single" w:sz="4" w:space="0" w:color="auto"/>
            </w:tcBorders>
            <w:shd w:val="clear" w:color="auto" w:fill="auto"/>
            <w:vAlign w:val="center"/>
            <w:hideMark/>
          </w:tcPr>
          <w:p w14:paraId="2ADD7C25"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Revised Regulatory Framework for Urban Co-operative Banks (UCBs) - Net Worth and Capital Adequacy</w:t>
            </w:r>
          </w:p>
        </w:tc>
      </w:tr>
      <w:tr w:rsidR="001A4BE2" w:rsidRPr="001A4BE2" w14:paraId="72584F17" w14:textId="77777777" w:rsidTr="001A4BE2">
        <w:trPr>
          <w:trHeight w:val="41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8821381" w14:textId="51786085"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4</w:t>
            </w:r>
          </w:p>
        </w:tc>
        <w:tc>
          <w:tcPr>
            <w:tcW w:w="9781" w:type="dxa"/>
            <w:tcBorders>
              <w:top w:val="nil"/>
              <w:left w:val="nil"/>
              <w:bottom w:val="single" w:sz="4" w:space="0" w:color="auto"/>
              <w:right w:val="single" w:sz="4" w:space="0" w:color="auto"/>
            </w:tcBorders>
            <w:shd w:val="clear" w:color="auto" w:fill="auto"/>
            <w:vAlign w:val="center"/>
            <w:hideMark/>
          </w:tcPr>
          <w:p w14:paraId="1133267D"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Circular on Credit Facilities to Minority Communities</w:t>
            </w:r>
          </w:p>
        </w:tc>
      </w:tr>
      <w:tr w:rsidR="001A4BE2" w:rsidRPr="001A4BE2" w14:paraId="7603C52C" w14:textId="77777777" w:rsidTr="001A4BE2">
        <w:trPr>
          <w:trHeight w:val="40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0DF22B6" w14:textId="121BB5CC"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5</w:t>
            </w:r>
          </w:p>
        </w:tc>
        <w:tc>
          <w:tcPr>
            <w:tcW w:w="9781" w:type="dxa"/>
            <w:tcBorders>
              <w:top w:val="nil"/>
              <w:left w:val="nil"/>
              <w:bottom w:val="single" w:sz="4" w:space="0" w:color="auto"/>
              <w:right w:val="single" w:sz="4" w:space="0" w:color="auto"/>
            </w:tcBorders>
            <w:shd w:val="clear" w:color="auto" w:fill="auto"/>
            <w:vAlign w:val="center"/>
            <w:hideMark/>
          </w:tcPr>
          <w:p w14:paraId="4B43759C"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1A4BE2" w:rsidRPr="001A4BE2" w14:paraId="692E872F" w14:textId="77777777" w:rsidTr="001A4BE2">
        <w:trPr>
          <w:trHeight w:val="4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9B03195" w14:textId="4C1A00AA"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6</w:t>
            </w:r>
          </w:p>
        </w:tc>
        <w:tc>
          <w:tcPr>
            <w:tcW w:w="9781" w:type="dxa"/>
            <w:tcBorders>
              <w:top w:val="nil"/>
              <w:left w:val="nil"/>
              <w:bottom w:val="single" w:sz="4" w:space="0" w:color="auto"/>
              <w:right w:val="single" w:sz="4" w:space="0" w:color="auto"/>
            </w:tcBorders>
            <w:shd w:val="clear" w:color="auto" w:fill="auto"/>
            <w:vAlign w:val="center"/>
            <w:hideMark/>
          </w:tcPr>
          <w:p w14:paraId="476AD9B3"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Circular - Guarantees, Co-Acceptances &amp; Letters of Credit - UCBs</w:t>
            </w:r>
          </w:p>
        </w:tc>
      </w:tr>
      <w:tr w:rsidR="001A4BE2" w:rsidRPr="001A4BE2" w14:paraId="15AF7356" w14:textId="77777777" w:rsidTr="001A4BE2">
        <w:trPr>
          <w:trHeight w:val="558"/>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50A24" w14:textId="18E9CC84"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9781" w:type="dxa"/>
            <w:tcBorders>
              <w:top w:val="single" w:sz="4" w:space="0" w:color="auto"/>
              <w:left w:val="nil"/>
              <w:bottom w:val="single" w:sz="4" w:space="0" w:color="auto"/>
              <w:right w:val="single" w:sz="4" w:space="0" w:color="auto"/>
            </w:tcBorders>
            <w:shd w:val="clear" w:color="auto" w:fill="auto"/>
            <w:vAlign w:val="bottom"/>
            <w:hideMark/>
          </w:tcPr>
          <w:p w14:paraId="1162C86B"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Direction - Reserve Bank of India (Classification, Valuation and Operation of Investment Portfolio of Primary (Urban) Co-operative Banks) Directions, 2023</w:t>
            </w:r>
          </w:p>
        </w:tc>
      </w:tr>
      <w:tr w:rsidR="001A4BE2" w:rsidRPr="001A4BE2" w14:paraId="3DF961E4" w14:textId="77777777" w:rsidTr="001A4BE2">
        <w:trPr>
          <w:trHeight w:val="41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86224" w14:textId="383E40B1"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9781" w:type="dxa"/>
            <w:tcBorders>
              <w:top w:val="single" w:sz="4" w:space="0" w:color="auto"/>
              <w:left w:val="nil"/>
              <w:bottom w:val="single" w:sz="4" w:space="0" w:color="auto"/>
              <w:right w:val="single" w:sz="4" w:space="0" w:color="auto"/>
            </w:tcBorders>
            <w:shd w:val="clear" w:color="auto" w:fill="auto"/>
            <w:vAlign w:val="center"/>
            <w:hideMark/>
          </w:tcPr>
          <w:p w14:paraId="1C09C5E3"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Direction - Facility for Exchange of Notes and Coins (Updated as on May 15, 2023)</w:t>
            </w:r>
          </w:p>
        </w:tc>
      </w:tr>
      <w:tr w:rsidR="001A4BE2" w:rsidRPr="001A4BE2" w14:paraId="01EF43D5" w14:textId="77777777" w:rsidTr="001A4BE2">
        <w:trPr>
          <w:trHeight w:val="38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32D4C29" w14:textId="58DA825C"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9</w:t>
            </w:r>
          </w:p>
        </w:tc>
        <w:tc>
          <w:tcPr>
            <w:tcW w:w="9781" w:type="dxa"/>
            <w:tcBorders>
              <w:top w:val="nil"/>
              <w:left w:val="nil"/>
              <w:bottom w:val="single" w:sz="4" w:space="0" w:color="auto"/>
              <w:right w:val="single" w:sz="4" w:space="0" w:color="auto"/>
            </w:tcBorders>
            <w:shd w:val="clear" w:color="auto" w:fill="auto"/>
            <w:vAlign w:val="center"/>
            <w:hideMark/>
          </w:tcPr>
          <w:p w14:paraId="1BCF7CB1"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Direction on Counterfeit Notes, 2023 - Detection, Reporting and Monitoring</w:t>
            </w:r>
          </w:p>
        </w:tc>
      </w:tr>
      <w:tr w:rsidR="001A4BE2" w:rsidRPr="001A4BE2" w14:paraId="4FA20238" w14:textId="77777777" w:rsidTr="001A4BE2">
        <w:trPr>
          <w:trHeight w:val="42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309F854" w14:textId="7D3DB0F6"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r w:rsidRPr="001A4BE2">
              <w:rPr>
                <w:rFonts w:ascii="Calibri" w:eastAsia="Times New Roman" w:hAnsi="Calibri" w:cs="Calibri"/>
                <w:color w:val="000000"/>
                <w:kern w:val="0"/>
                <w:sz w:val="24"/>
                <w:szCs w:val="24"/>
                <w:lang w:eastAsia="en-IN"/>
                <w14:ligatures w14:val="none"/>
              </w:rPr>
              <w:t>0</w:t>
            </w:r>
          </w:p>
        </w:tc>
        <w:tc>
          <w:tcPr>
            <w:tcW w:w="9781" w:type="dxa"/>
            <w:tcBorders>
              <w:top w:val="nil"/>
              <w:left w:val="nil"/>
              <w:bottom w:val="single" w:sz="4" w:space="0" w:color="auto"/>
              <w:right w:val="single" w:sz="4" w:space="0" w:color="auto"/>
            </w:tcBorders>
            <w:shd w:val="clear" w:color="auto" w:fill="auto"/>
            <w:vAlign w:val="center"/>
            <w:hideMark/>
          </w:tcPr>
          <w:p w14:paraId="40887FF7"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Circular - Housing Finance for UCBs</w:t>
            </w:r>
          </w:p>
        </w:tc>
      </w:tr>
      <w:tr w:rsidR="001A4BE2" w:rsidRPr="001A4BE2" w14:paraId="0DAE32EA" w14:textId="77777777" w:rsidTr="001A4BE2">
        <w:trPr>
          <w:trHeight w:val="556"/>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53BEFDE" w14:textId="155E7557"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r w:rsidRPr="001A4BE2">
              <w:rPr>
                <w:rFonts w:ascii="Calibri" w:eastAsia="Times New Roman" w:hAnsi="Calibri" w:cs="Calibri"/>
                <w:color w:val="000000"/>
                <w:kern w:val="0"/>
                <w:sz w:val="24"/>
                <w:szCs w:val="24"/>
                <w:lang w:eastAsia="en-IN"/>
                <w14:ligatures w14:val="none"/>
              </w:rPr>
              <w:t>1</w:t>
            </w:r>
          </w:p>
        </w:tc>
        <w:tc>
          <w:tcPr>
            <w:tcW w:w="9781" w:type="dxa"/>
            <w:tcBorders>
              <w:top w:val="nil"/>
              <w:left w:val="nil"/>
              <w:bottom w:val="single" w:sz="4" w:space="0" w:color="auto"/>
              <w:right w:val="single" w:sz="4" w:space="0" w:color="auto"/>
            </w:tcBorders>
            <w:shd w:val="clear" w:color="auto" w:fill="auto"/>
            <w:vAlign w:val="bottom"/>
            <w:hideMark/>
          </w:tcPr>
          <w:p w14:paraId="376DE31A"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Master Circular- Prudential Norms on Capital Adequacy - Primary (Urban) Co-operative Banks (UCBs)</w:t>
            </w:r>
          </w:p>
        </w:tc>
      </w:tr>
      <w:tr w:rsidR="001A4BE2" w:rsidRPr="001A4BE2" w14:paraId="4ABE39E7" w14:textId="77777777" w:rsidTr="001A4BE2">
        <w:trPr>
          <w:trHeight w:val="66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EE40602" w14:textId="16558288"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r w:rsidRPr="001A4BE2">
              <w:rPr>
                <w:rFonts w:ascii="Calibri" w:eastAsia="Times New Roman" w:hAnsi="Calibri" w:cs="Calibri"/>
                <w:color w:val="000000"/>
                <w:kern w:val="0"/>
                <w:sz w:val="24"/>
                <w:szCs w:val="24"/>
                <w:lang w:eastAsia="en-IN"/>
                <w14:ligatures w14:val="none"/>
              </w:rPr>
              <w:t>2</w:t>
            </w:r>
          </w:p>
        </w:tc>
        <w:tc>
          <w:tcPr>
            <w:tcW w:w="9781" w:type="dxa"/>
            <w:tcBorders>
              <w:top w:val="nil"/>
              <w:left w:val="nil"/>
              <w:bottom w:val="single" w:sz="4" w:space="0" w:color="auto"/>
              <w:right w:val="single" w:sz="4" w:space="0" w:color="auto"/>
            </w:tcBorders>
            <w:shd w:val="clear" w:color="auto" w:fill="auto"/>
            <w:vAlign w:val="bottom"/>
            <w:hideMark/>
          </w:tcPr>
          <w:p w14:paraId="3CC7741C"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Provisioning for standard assets by primary (Urban) co-operative banks - revised norms under four-tiered regulatory framework</w:t>
            </w:r>
          </w:p>
        </w:tc>
      </w:tr>
      <w:tr w:rsidR="001A4BE2" w:rsidRPr="001A4BE2" w14:paraId="4B38DE80" w14:textId="77777777" w:rsidTr="001A4BE2">
        <w:trPr>
          <w:trHeight w:val="41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EC023B0" w14:textId="0B9AB3FD"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r w:rsidRPr="001A4BE2">
              <w:rPr>
                <w:rFonts w:ascii="Calibri" w:eastAsia="Times New Roman" w:hAnsi="Calibri" w:cs="Calibri"/>
                <w:color w:val="000000"/>
                <w:kern w:val="0"/>
                <w:sz w:val="24"/>
                <w:szCs w:val="24"/>
                <w:lang w:eastAsia="en-IN"/>
                <w14:ligatures w14:val="none"/>
              </w:rPr>
              <w:t>3</w:t>
            </w:r>
          </w:p>
        </w:tc>
        <w:tc>
          <w:tcPr>
            <w:tcW w:w="9781" w:type="dxa"/>
            <w:tcBorders>
              <w:top w:val="nil"/>
              <w:left w:val="nil"/>
              <w:bottom w:val="single" w:sz="4" w:space="0" w:color="auto"/>
              <w:right w:val="single" w:sz="4" w:space="0" w:color="auto"/>
            </w:tcBorders>
            <w:shd w:val="clear" w:color="auto" w:fill="auto"/>
            <w:vAlign w:val="bottom"/>
            <w:hideMark/>
          </w:tcPr>
          <w:p w14:paraId="2C260FCC"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General Credit Card (GCC) Facility - Review</w:t>
            </w:r>
          </w:p>
        </w:tc>
      </w:tr>
      <w:tr w:rsidR="001A4BE2" w:rsidRPr="001A4BE2" w14:paraId="4EF68D21" w14:textId="77777777" w:rsidTr="00557175">
        <w:trPr>
          <w:trHeight w:val="46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FBCA2B9" w14:textId="5D4AF414"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r w:rsidRPr="001A4BE2">
              <w:rPr>
                <w:rFonts w:ascii="Calibri" w:eastAsia="Times New Roman" w:hAnsi="Calibri" w:cs="Calibri"/>
                <w:color w:val="000000"/>
                <w:kern w:val="0"/>
                <w:sz w:val="24"/>
                <w:szCs w:val="24"/>
                <w:lang w:eastAsia="en-IN"/>
                <w14:ligatures w14:val="none"/>
              </w:rPr>
              <w:t>4</w:t>
            </w:r>
          </w:p>
        </w:tc>
        <w:tc>
          <w:tcPr>
            <w:tcW w:w="9781" w:type="dxa"/>
            <w:tcBorders>
              <w:top w:val="nil"/>
              <w:left w:val="nil"/>
              <w:bottom w:val="single" w:sz="4" w:space="0" w:color="auto"/>
              <w:right w:val="single" w:sz="4" w:space="0" w:color="auto"/>
            </w:tcBorders>
            <w:shd w:val="clear" w:color="auto" w:fill="auto"/>
            <w:vAlign w:val="bottom"/>
            <w:hideMark/>
          </w:tcPr>
          <w:p w14:paraId="62BB8552"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 xml:space="preserve">Master Circular - </w:t>
            </w:r>
            <w:proofErr w:type="spellStart"/>
            <w:r w:rsidRPr="001A4BE2">
              <w:rPr>
                <w:rFonts w:ascii="Calibri" w:eastAsia="Times New Roman" w:hAnsi="Calibri" w:cs="Calibri"/>
                <w:color w:val="000000"/>
                <w:kern w:val="0"/>
                <w:sz w:val="24"/>
                <w:szCs w:val="24"/>
                <w:lang w:eastAsia="en-IN"/>
                <w14:ligatures w14:val="none"/>
              </w:rPr>
              <w:t>Deendayal</w:t>
            </w:r>
            <w:proofErr w:type="spellEnd"/>
            <w:r w:rsidRPr="001A4BE2">
              <w:rPr>
                <w:rFonts w:ascii="Calibri" w:eastAsia="Times New Roman" w:hAnsi="Calibri" w:cs="Calibri"/>
                <w:color w:val="000000"/>
                <w:kern w:val="0"/>
                <w:sz w:val="24"/>
                <w:szCs w:val="24"/>
                <w:lang w:eastAsia="en-IN"/>
                <w14:ligatures w14:val="none"/>
              </w:rPr>
              <w:t xml:space="preserve"> </w:t>
            </w:r>
            <w:proofErr w:type="spellStart"/>
            <w:r w:rsidRPr="001A4BE2">
              <w:rPr>
                <w:rFonts w:ascii="Calibri" w:eastAsia="Times New Roman" w:hAnsi="Calibri" w:cs="Calibri"/>
                <w:color w:val="000000"/>
                <w:kern w:val="0"/>
                <w:sz w:val="24"/>
                <w:szCs w:val="24"/>
                <w:lang w:eastAsia="en-IN"/>
                <w14:ligatures w14:val="none"/>
              </w:rPr>
              <w:t>Antyodaya</w:t>
            </w:r>
            <w:proofErr w:type="spellEnd"/>
            <w:r w:rsidRPr="001A4BE2">
              <w:rPr>
                <w:rFonts w:ascii="Calibri" w:eastAsia="Times New Roman" w:hAnsi="Calibri" w:cs="Calibri"/>
                <w:color w:val="000000"/>
                <w:kern w:val="0"/>
                <w:sz w:val="24"/>
                <w:szCs w:val="24"/>
                <w:lang w:eastAsia="en-IN"/>
                <w14:ligatures w14:val="none"/>
              </w:rPr>
              <w:t xml:space="preserve"> </w:t>
            </w:r>
            <w:proofErr w:type="spellStart"/>
            <w:r w:rsidRPr="001A4BE2">
              <w:rPr>
                <w:rFonts w:ascii="Calibri" w:eastAsia="Times New Roman" w:hAnsi="Calibri" w:cs="Calibri"/>
                <w:color w:val="000000"/>
                <w:kern w:val="0"/>
                <w:sz w:val="24"/>
                <w:szCs w:val="24"/>
                <w:lang w:eastAsia="en-IN"/>
                <w14:ligatures w14:val="none"/>
              </w:rPr>
              <w:t>Yojana</w:t>
            </w:r>
            <w:proofErr w:type="spellEnd"/>
            <w:r w:rsidRPr="001A4BE2">
              <w:rPr>
                <w:rFonts w:ascii="Calibri" w:eastAsia="Times New Roman" w:hAnsi="Calibri" w:cs="Calibri"/>
                <w:color w:val="000000"/>
                <w:kern w:val="0"/>
                <w:sz w:val="24"/>
                <w:szCs w:val="24"/>
                <w:lang w:eastAsia="en-IN"/>
                <w14:ligatures w14:val="none"/>
              </w:rPr>
              <w:t xml:space="preserve"> - National Rural Livelihoods Mission (DAY-NRLM)</w:t>
            </w:r>
          </w:p>
        </w:tc>
      </w:tr>
      <w:tr w:rsidR="001A4BE2" w:rsidRPr="001A4BE2" w14:paraId="4F48BD0C" w14:textId="77777777" w:rsidTr="001A4BE2">
        <w:trPr>
          <w:trHeight w:val="377"/>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3910BDE" w14:textId="3222737E"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15</w:t>
            </w:r>
          </w:p>
        </w:tc>
        <w:tc>
          <w:tcPr>
            <w:tcW w:w="9781" w:type="dxa"/>
            <w:tcBorders>
              <w:top w:val="nil"/>
              <w:left w:val="nil"/>
              <w:bottom w:val="single" w:sz="4" w:space="0" w:color="auto"/>
              <w:right w:val="single" w:sz="4" w:space="0" w:color="auto"/>
            </w:tcBorders>
            <w:shd w:val="clear" w:color="auto" w:fill="auto"/>
            <w:vAlign w:val="bottom"/>
            <w:hideMark/>
          </w:tcPr>
          <w:p w14:paraId="4E813E88"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Amendment to the Master Direction (MD) on KYC</w:t>
            </w:r>
          </w:p>
        </w:tc>
      </w:tr>
      <w:tr w:rsidR="001A4BE2" w:rsidRPr="001A4BE2" w14:paraId="3BCDAE7A" w14:textId="77777777" w:rsidTr="001A4BE2">
        <w:trPr>
          <w:trHeight w:val="4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48966CD" w14:textId="557329D8"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16</w:t>
            </w:r>
          </w:p>
        </w:tc>
        <w:tc>
          <w:tcPr>
            <w:tcW w:w="9781" w:type="dxa"/>
            <w:tcBorders>
              <w:top w:val="nil"/>
              <w:left w:val="nil"/>
              <w:bottom w:val="single" w:sz="4" w:space="0" w:color="auto"/>
              <w:right w:val="single" w:sz="4" w:space="0" w:color="auto"/>
            </w:tcBorders>
            <w:shd w:val="clear" w:color="auto" w:fill="auto"/>
            <w:vAlign w:val="bottom"/>
            <w:hideMark/>
          </w:tcPr>
          <w:p w14:paraId="1639A077"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Amendment to the Master Direction (MD) on KYC - Instructions on Wire Transfer</w:t>
            </w:r>
          </w:p>
        </w:tc>
      </w:tr>
      <w:tr w:rsidR="001A4BE2" w:rsidRPr="001A4BE2" w14:paraId="34220EC0" w14:textId="77777777" w:rsidTr="001A4BE2">
        <w:trPr>
          <w:trHeight w:val="55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CAB4F77" w14:textId="6D1FCBDB"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17</w:t>
            </w:r>
          </w:p>
        </w:tc>
        <w:tc>
          <w:tcPr>
            <w:tcW w:w="9781" w:type="dxa"/>
            <w:tcBorders>
              <w:top w:val="nil"/>
              <w:left w:val="nil"/>
              <w:bottom w:val="single" w:sz="4" w:space="0" w:color="auto"/>
              <w:right w:val="single" w:sz="4" w:space="0" w:color="auto"/>
            </w:tcBorders>
            <w:shd w:val="clear" w:color="auto" w:fill="auto"/>
            <w:vAlign w:val="bottom"/>
            <w:hideMark/>
          </w:tcPr>
          <w:p w14:paraId="33147D92" w14:textId="46C9FC2C"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 xml:space="preserve">Master Circular - Income Recognition, Asset Classification, Provisioning and Other Related Matters </w:t>
            </w:r>
            <w:r w:rsidR="005F7471">
              <w:rPr>
                <w:rFonts w:ascii="Calibri" w:eastAsia="Times New Roman" w:hAnsi="Calibri" w:cs="Calibri"/>
                <w:color w:val="000000"/>
                <w:kern w:val="0"/>
                <w:sz w:val="24"/>
                <w:szCs w:val="24"/>
                <w:lang w:eastAsia="en-IN"/>
                <w14:ligatures w14:val="none"/>
              </w:rPr>
              <w:t>–</w:t>
            </w:r>
            <w:r w:rsidRPr="001A4BE2">
              <w:rPr>
                <w:rFonts w:ascii="Calibri" w:eastAsia="Times New Roman" w:hAnsi="Calibri" w:cs="Calibri"/>
                <w:color w:val="000000"/>
                <w:kern w:val="0"/>
                <w:sz w:val="24"/>
                <w:szCs w:val="24"/>
                <w:lang w:eastAsia="en-IN"/>
                <w14:ligatures w14:val="none"/>
              </w:rPr>
              <w:t xml:space="preserve"> UCBs</w:t>
            </w:r>
          </w:p>
        </w:tc>
      </w:tr>
      <w:tr w:rsidR="001A4BE2" w:rsidRPr="001A4BE2" w14:paraId="03425DD2" w14:textId="77777777" w:rsidTr="001A4BE2">
        <w:trPr>
          <w:trHeight w:val="38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99CA4E2" w14:textId="7837E357"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18</w:t>
            </w:r>
          </w:p>
        </w:tc>
        <w:tc>
          <w:tcPr>
            <w:tcW w:w="9781" w:type="dxa"/>
            <w:tcBorders>
              <w:top w:val="nil"/>
              <w:left w:val="nil"/>
              <w:bottom w:val="single" w:sz="4" w:space="0" w:color="auto"/>
              <w:right w:val="single" w:sz="4" w:space="0" w:color="auto"/>
            </w:tcBorders>
            <w:shd w:val="clear" w:color="auto" w:fill="auto"/>
            <w:vAlign w:val="bottom"/>
            <w:hideMark/>
          </w:tcPr>
          <w:p w14:paraId="296E305E"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Framework for Compromise Settlements and Technical Write-offs</w:t>
            </w:r>
          </w:p>
        </w:tc>
      </w:tr>
      <w:tr w:rsidR="001A4BE2" w:rsidRPr="001A4BE2" w14:paraId="5B58C4AA" w14:textId="77777777" w:rsidTr="001A4BE2">
        <w:trPr>
          <w:trHeight w:val="417"/>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415E256" w14:textId="4A1EFEBB"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19</w:t>
            </w:r>
          </w:p>
        </w:tc>
        <w:tc>
          <w:tcPr>
            <w:tcW w:w="9781" w:type="dxa"/>
            <w:tcBorders>
              <w:top w:val="nil"/>
              <w:left w:val="nil"/>
              <w:bottom w:val="single" w:sz="4" w:space="0" w:color="auto"/>
              <w:right w:val="single" w:sz="4" w:space="0" w:color="auto"/>
            </w:tcBorders>
            <w:shd w:val="clear" w:color="auto" w:fill="auto"/>
            <w:vAlign w:val="bottom"/>
            <w:hideMark/>
          </w:tcPr>
          <w:p w14:paraId="7698B4B0"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Guidelines on Default Loss Guarantee (DLG) in Digital Lending</w:t>
            </w:r>
          </w:p>
        </w:tc>
      </w:tr>
      <w:tr w:rsidR="001A4BE2" w:rsidRPr="001A4BE2" w14:paraId="457435A7" w14:textId="77777777" w:rsidTr="001A4BE2">
        <w:trPr>
          <w:trHeight w:val="637"/>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77D89FE" w14:textId="0C2DA479" w:rsidR="001A4BE2" w:rsidRPr="001A4BE2" w:rsidRDefault="001A4BE2" w:rsidP="001A4BE2">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20</w:t>
            </w:r>
          </w:p>
        </w:tc>
        <w:tc>
          <w:tcPr>
            <w:tcW w:w="9781" w:type="dxa"/>
            <w:tcBorders>
              <w:top w:val="nil"/>
              <w:left w:val="nil"/>
              <w:bottom w:val="single" w:sz="4" w:space="0" w:color="auto"/>
              <w:right w:val="single" w:sz="4" w:space="0" w:color="auto"/>
            </w:tcBorders>
            <w:shd w:val="clear" w:color="auto" w:fill="auto"/>
            <w:vAlign w:val="bottom"/>
            <w:hideMark/>
          </w:tcPr>
          <w:p w14:paraId="2623C61E" w14:textId="77777777" w:rsidR="001A4BE2" w:rsidRPr="001A4BE2" w:rsidRDefault="001A4BE2" w:rsidP="001A4BE2">
            <w:pPr>
              <w:spacing w:after="0" w:line="240" w:lineRule="auto"/>
              <w:rPr>
                <w:rFonts w:ascii="Calibri" w:eastAsia="Times New Roman" w:hAnsi="Calibri" w:cs="Calibri"/>
                <w:color w:val="000000"/>
                <w:kern w:val="0"/>
                <w:sz w:val="24"/>
                <w:szCs w:val="24"/>
                <w:lang w:eastAsia="en-IN"/>
                <w14:ligatures w14:val="none"/>
              </w:rPr>
            </w:pPr>
            <w:r w:rsidRPr="001A4BE2">
              <w:rPr>
                <w:rFonts w:ascii="Calibri" w:eastAsia="Times New Roman" w:hAnsi="Calibri" w:cs="Calibri"/>
                <w:color w:val="000000"/>
                <w:kern w:val="0"/>
                <w:sz w:val="24"/>
                <w:szCs w:val="24"/>
                <w:lang w:eastAsia="en-IN"/>
                <w14:ligatures w14:val="none"/>
              </w:rPr>
              <w:t>Priority Sector Lending (PSL) targets / sub-targets and contribution against shortfall in achievement of PSL targets - Primary (Urban) Co-operative Banks (UCBs) - Extension of time</w:t>
            </w:r>
          </w:p>
        </w:tc>
      </w:tr>
    </w:tbl>
    <w:p w14:paraId="31DAE5B4" w14:textId="77777777" w:rsidR="001A4BE2" w:rsidRPr="001A4BE2" w:rsidRDefault="001A4BE2" w:rsidP="001A4BE2">
      <w:pPr>
        <w:rPr>
          <w:b/>
          <w:bCs/>
        </w:rPr>
      </w:pPr>
    </w:p>
    <w:p w14:paraId="0F30FF93" w14:textId="77777777" w:rsidR="001A4BE2" w:rsidRDefault="001A4BE2"/>
    <w:p w14:paraId="5F5CC3F5" w14:textId="77777777" w:rsidR="00916FF3" w:rsidRDefault="00916FF3"/>
    <w:p w14:paraId="3199ACC9" w14:textId="77777777" w:rsidR="00916FF3" w:rsidRDefault="00916FF3"/>
    <w:p w14:paraId="149CC954" w14:textId="77777777" w:rsidR="00916FF3" w:rsidRDefault="00916FF3"/>
    <w:p w14:paraId="1D469A76" w14:textId="77777777" w:rsidR="00916FF3" w:rsidRDefault="00916FF3"/>
    <w:p w14:paraId="7CAAA4CA" w14:textId="77777777" w:rsidR="00916FF3" w:rsidRDefault="00916FF3"/>
    <w:p w14:paraId="67C12223" w14:textId="77777777" w:rsidR="00916FF3" w:rsidRPr="00BD1F30" w:rsidRDefault="00916FF3" w:rsidP="00916FF3">
      <w:pPr>
        <w:pStyle w:val="NormalWeb"/>
        <w:rPr>
          <w:rFonts w:ascii="Arial" w:hAnsi="Arial" w:cs="Arial"/>
          <w:bCs/>
          <w:color w:val="000000"/>
          <w:sz w:val="20"/>
          <w:szCs w:val="20"/>
        </w:rPr>
      </w:pPr>
      <w:r>
        <w:rPr>
          <w:rFonts w:ascii="Arial" w:hAnsi="Arial" w:cs="Arial"/>
          <w:b/>
          <w:bCs/>
          <w:color w:val="000000"/>
          <w:sz w:val="20"/>
          <w:szCs w:val="20"/>
        </w:rPr>
        <w:lastRenderedPageBreak/>
        <w:t>Safe Deposit Locker/Safe Custody Article Facility provided by banks</w:t>
      </w:r>
    </w:p>
    <w:p w14:paraId="7747769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RBI/2022-23/168</w:t>
      </w:r>
      <w:r>
        <w:rPr>
          <w:rFonts w:ascii="Arial" w:hAnsi="Arial" w:cs="Arial"/>
          <w:color w:val="000000"/>
          <w:sz w:val="20"/>
          <w:szCs w:val="20"/>
        </w:rPr>
        <w:br/>
        <w:t>CO.CEPD.PRS.No.S1233/13-01-018/2022-2023</w:t>
      </w:r>
    </w:p>
    <w:p w14:paraId="0B9DBC47"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January 23, 2023</w:t>
      </w:r>
    </w:p>
    <w:p w14:paraId="3D4CAA76"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All Commercial Banks (including RRBs,</w:t>
      </w:r>
      <w:r>
        <w:rPr>
          <w:rFonts w:ascii="Arial" w:hAnsi="Arial" w:cs="Arial"/>
          <w:color w:val="000000"/>
          <w:sz w:val="20"/>
          <w:szCs w:val="20"/>
        </w:rPr>
        <w:br/>
        <w:t>Small Finance Banks, Payment Banks</w:t>
      </w:r>
      <w:r>
        <w:rPr>
          <w:rFonts w:ascii="Arial" w:hAnsi="Arial" w:cs="Arial"/>
          <w:color w:val="000000"/>
          <w:sz w:val="20"/>
          <w:szCs w:val="20"/>
        </w:rPr>
        <w:br/>
        <w:t>and Local Area Banks)</w:t>
      </w:r>
      <w:r>
        <w:rPr>
          <w:rFonts w:ascii="Arial" w:hAnsi="Arial" w:cs="Arial"/>
          <w:color w:val="000000"/>
          <w:sz w:val="20"/>
          <w:szCs w:val="20"/>
        </w:rPr>
        <w:br/>
        <w:t>All Co-operative Banks</w:t>
      </w:r>
    </w:p>
    <w:p w14:paraId="41345353" w14:textId="77777777" w:rsidR="00916FF3" w:rsidRDefault="00916FF3" w:rsidP="00916FF3">
      <w:pPr>
        <w:pStyle w:val="head"/>
        <w:jc w:val="center"/>
        <w:rPr>
          <w:rFonts w:ascii="Arial" w:hAnsi="Arial" w:cs="Arial"/>
          <w:b/>
          <w:bCs/>
          <w:color w:val="000000"/>
          <w:sz w:val="20"/>
          <w:szCs w:val="20"/>
        </w:rPr>
      </w:pPr>
      <w:r>
        <w:rPr>
          <w:rFonts w:ascii="Arial" w:hAnsi="Arial" w:cs="Arial"/>
          <w:b/>
          <w:bCs/>
          <w:color w:val="000000"/>
          <w:sz w:val="20"/>
          <w:szCs w:val="20"/>
        </w:rPr>
        <w:t>Safe Deposit Locker/Safe Custody Article Facility provided by banks</w:t>
      </w:r>
    </w:p>
    <w:p w14:paraId="0F6D648E"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 w:tgtFrame="_blank" w:history="1">
        <w:r>
          <w:rPr>
            <w:rStyle w:val="Hyperlink"/>
            <w:rFonts w:ascii="Arial" w:hAnsi="Arial" w:cs="Arial"/>
            <w:sz w:val="20"/>
            <w:szCs w:val="20"/>
          </w:rPr>
          <w:t>RBI circular DOR.LEG.REC/40/09.07.005/2021-22 dated August 18, 2021</w:t>
        </w:r>
      </w:hyperlink>
      <w:r>
        <w:rPr>
          <w:rFonts w:ascii="Arial" w:hAnsi="Arial" w:cs="Arial"/>
          <w:color w:val="000000"/>
          <w:sz w:val="20"/>
          <w:szCs w:val="20"/>
        </w:rPr>
        <w:t> on the captioned subject.</w:t>
      </w:r>
    </w:p>
    <w:p w14:paraId="72B7676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In terms of paragraph 2.1.1 of the said circular, banks were required to renew their locker agreements with existing locker customers by January 1, 2023. However, it has come to the notice of the Reserve Bank that large number of customers are yet to execute the revised agreement and are facing difficulties in doing the same. In many cases, the banks are yet to inform the customers about the need for renewal of agreements before January 1, 2023. Further, there is a need for revision in the Model Agreement drafted by the Indian Banks’ Association (IBA) to fully comply with the revised instructions.</w:t>
      </w:r>
    </w:p>
    <w:p w14:paraId="01072075"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Considering the above aspects, the deadline for banks is being extended in a phased manner to December 31, 2023. Banks are advised to notify all their customers of the revised requirements by April 30, 2023 and ensure that at least 50 per cent and 75 per cent of their existing customers have executed the revised agreements by June 30 and September 30, 2023 respectively. Banks shall report the status of compliance with these instructions on the </w:t>
      </w:r>
      <w:hyperlink r:id="rId6" w:anchor="/login" w:tgtFrame="_blank" w:history="1">
        <w:r>
          <w:rPr>
            <w:rStyle w:val="Hyperlink"/>
            <w:rFonts w:ascii="Arial" w:hAnsi="Arial" w:cs="Arial"/>
            <w:sz w:val="20"/>
            <w:szCs w:val="20"/>
          </w:rPr>
          <w:t>DAKSH</w:t>
        </w:r>
      </w:hyperlink>
      <w:r>
        <w:rPr>
          <w:rFonts w:ascii="Arial" w:hAnsi="Arial" w:cs="Arial"/>
          <w:color w:val="000000"/>
          <w:sz w:val="20"/>
          <w:szCs w:val="20"/>
        </w:rPr>
        <w:t> supervisory portal of the Reserve Bank on a monthly basis.</w:t>
      </w:r>
    </w:p>
    <w:p w14:paraId="0974DEFB"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4. IBA is being advised separately to review and revise the Model Agreement to ensure that it complies with the requirements of </w:t>
      </w:r>
      <w:hyperlink r:id="rId7" w:tgtFrame="_blank" w:history="1">
        <w:r>
          <w:rPr>
            <w:rStyle w:val="Hyperlink"/>
            <w:rFonts w:ascii="Arial" w:hAnsi="Arial" w:cs="Arial"/>
            <w:sz w:val="20"/>
            <w:szCs w:val="20"/>
          </w:rPr>
          <w:t>circular dated August 18, 2021</w:t>
        </w:r>
      </w:hyperlink>
      <w:r>
        <w:rPr>
          <w:rFonts w:ascii="Arial" w:hAnsi="Arial" w:cs="Arial"/>
          <w:color w:val="000000"/>
          <w:sz w:val="20"/>
          <w:szCs w:val="20"/>
        </w:rPr>
        <w:t> and circulate a revised version to all banks by February 28, 2023. There may be instances, where the revised agreements already executed in pursuance of </w:t>
      </w:r>
      <w:hyperlink r:id="rId8" w:tgtFrame="_blank" w:history="1">
        <w:r>
          <w:rPr>
            <w:rStyle w:val="Hyperlink"/>
            <w:rFonts w:ascii="Arial" w:hAnsi="Arial" w:cs="Arial"/>
            <w:sz w:val="20"/>
            <w:szCs w:val="20"/>
          </w:rPr>
          <w:t>circular dated August 18, 2021</w:t>
        </w:r>
      </w:hyperlink>
      <w:r>
        <w:rPr>
          <w:rFonts w:ascii="Arial" w:hAnsi="Arial" w:cs="Arial"/>
          <w:color w:val="000000"/>
          <w:sz w:val="20"/>
          <w:szCs w:val="20"/>
        </w:rPr>
        <w:t> are at variance with this revised IBA Model Agreement. In such cases, all the provisions of the said circular of the RBI, in particular Part VII thereof on compensation policy/liability of banks, shall continue to apply to banks even if not explicitly stated in the agreements already executed. Further, in such cases, banks shall have the option to execute fresh agreements or revise them through supplementary agreements. The cost of stamp paper in such cases may be borne by the banks.</w:t>
      </w:r>
    </w:p>
    <w:p w14:paraId="639AF8AF"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5. Banks are advised to facilitate execution of the fresh/supplementary stamped agreements with their customers by taking measures such as arranging stamp papers, franking, electronic execution of agreement, e-stamping, etc. and provide a copy of the executed agreement to the customer. Where operations in lockers have been frozen for non-execution of agreement by January 1, 2023, the same should be unfrozen with immediate effect.</w:t>
      </w:r>
    </w:p>
    <w:p w14:paraId="4B432B13"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6AD863CC"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(Anupam Sonal)</w:t>
      </w:r>
      <w:r>
        <w:rPr>
          <w:rFonts w:ascii="Arial" w:hAnsi="Arial" w:cs="Arial"/>
          <w:color w:val="000000"/>
          <w:sz w:val="20"/>
          <w:szCs w:val="20"/>
        </w:rPr>
        <w:br/>
        <w:t>Chief General Manager</w:t>
      </w:r>
    </w:p>
    <w:p w14:paraId="0A797888" w14:textId="77777777" w:rsidR="00916FF3" w:rsidRDefault="00916FF3" w:rsidP="00916FF3">
      <w:pPr>
        <w:pStyle w:val="NormalWeb"/>
        <w:rPr>
          <w:b/>
        </w:rPr>
      </w:pPr>
    </w:p>
    <w:p w14:paraId="7111B0C7" w14:textId="77777777" w:rsidR="00916FF3" w:rsidRDefault="00916FF3" w:rsidP="00916FF3">
      <w:r>
        <w:t>More details can be referred to in the below link.</w:t>
      </w:r>
    </w:p>
    <w:p w14:paraId="4EB7A50C"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https://rbi.org.in/Scripts/NotificationUser.aspx?Id=12443&amp;Mode=0</w:t>
        </w:r>
      </w:hyperlink>
    </w:p>
    <w:p w14:paraId="6B8F744D" w14:textId="77777777" w:rsidR="00916FF3" w:rsidRDefault="00916FF3" w:rsidP="00916FF3">
      <w:pPr>
        <w:pStyle w:val="NormalWeb"/>
        <w:rPr>
          <w:rFonts w:ascii="Arial" w:hAnsi="Arial" w:cs="Arial"/>
          <w:b/>
          <w:bCs/>
          <w:color w:val="000000"/>
          <w:sz w:val="20"/>
          <w:szCs w:val="20"/>
        </w:rPr>
      </w:pPr>
      <w:bookmarkStart w:id="0" w:name="OLE_LINK25"/>
      <w:bookmarkStart w:id="1" w:name="_Hlk141828495"/>
      <w:r>
        <w:rPr>
          <w:rFonts w:ascii="Arial" w:hAnsi="Arial" w:cs="Arial"/>
          <w:b/>
          <w:bCs/>
          <w:color w:val="000000"/>
          <w:sz w:val="20"/>
          <w:szCs w:val="20"/>
        </w:rPr>
        <w:lastRenderedPageBreak/>
        <w:t>Reserve Bank of India (Financial Statements - Presentation and Disclosures) Directions, 2021 – Disclosures for State Co-operative Banks and Central Co-operative Banks</w:t>
      </w:r>
    </w:p>
    <w:bookmarkEnd w:id="0"/>
    <w:p w14:paraId="796DA8C7"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RBI/2022-23/181</w:t>
      </w:r>
      <w:r>
        <w:rPr>
          <w:rFonts w:ascii="Arial" w:hAnsi="Arial" w:cs="Arial"/>
          <w:color w:val="000000"/>
          <w:sz w:val="20"/>
          <w:szCs w:val="20"/>
        </w:rPr>
        <w:br/>
        <w:t>DOR.ACC.REC.No.103/21.04.018/2022-23</w:t>
      </w:r>
    </w:p>
    <w:p w14:paraId="7EF0CF67"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February 20, 2023</w:t>
      </w:r>
    </w:p>
    <w:p w14:paraId="77519F05"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 / Dear Sir,</w:t>
      </w:r>
    </w:p>
    <w:p w14:paraId="114E85B8"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Disclosures for State Co-operative Banks and Central Co-operative Banks</w:t>
      </w:r>
    </w:p>
    <w:p w14:paraId="0C6CA3E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The </w:t>
      </w:r>
      <w:hyperlink r:id="rId10"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(‘Master Direction’) are applicable to Commercial Banks and Primary Urban Co-operative Banks (UCBs). They harmonize the regulatory instructions on presentation and disclosure in financial statements across the banking sector.</w:t>
      </w:r>
    </w:p>
    <w:p w14:paraId="3ED8E0BC"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In consultation with the National Bank for Agriculture and Rural Development (NABARD), it has now been decided to make this Master Direction also applicable to State Cooperative Banks and Central Cooperative Banks (also referred to as ‘District Central Co-operative Banks’).</w:t>
      </w:r>
    </w:p>
    <w:p w14:paraId="213263E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The Master Direction shall apply to State and Central Cooperative Banks (together referred to as ‘Rural Co-operative Banks’ or ‘RCBs’) mutatis mutandis, unless explicitly specified otherwise, from the financial year ending March 31, 2023. Certain disclosure requirements specified in Annex III-A shall be applicable, to RCBs, from the financial year ending March 31, 2024.</w:t>
      </w:r>
    </w:p>
    <w:p w14:paraId="252EE245"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4. The </w:t>
      </w:r>
      <w:hyperlink r:id="rId11"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14:paraId="12AB2CA3"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4BDC2C33"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58988933" w14:textId="77777777" w:rsidR="00916FF3" w:rsidRDefault="00916FF3" w:rsidP="00916FF3">
      <w:pPr>
        <w:pStyle w:val="NormalWeb"/>
        <w:rPr>
          <w:b/>
        </w:rPr>
      </w:pPr>
    </w:p>
    <w:p w14:paraId="6ED46036" w14:textId="77777777" w:rsidR="00916FF3" w:rsidRDefault="00916FF3" w:rsidP="00916FF3">
      <w:r>
        <w:t>More details can be referred to in the below link.</w:t>
      </w:r>
    </w:p>
    <w:p w14:paraId="647BED07"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 w:history="1">
        <w:r w:rsidRPr="005F425E">
          <w:rPr>
            <w:rStyle w:val="Hyperlink"/>
            <w:rFonts w:ascii="Arial" w:hAnsi="Arial" w:cs="Arial"/>
            <w:bCs/>
            <w:sz w:val="20"/>
            <w:szCs w:val="20"/>
          </w:rPr>
          <w:t>https://rbi.org.in/Scripts/NotificationUser.aspx?Id=12457&amp;Mode=0</w:t>
        </w:r>
      </w:hyperlink>
    </w:p>
    <w:p w14:paraId="014117AA" w14:textId="77777777" w:rsidR="00916FF3" w:rsidRDefault="00916FF3" w:rsidP="00916FF3">
      <w:pPr>
        <w:pStyle w:val="NormalWeb"/>
        <w:rPr>
          <w:rFonts w:ascii="Arial" w:hAnsi="Arial" w:cs="Arial"/>
          <w:bCs/>
          <w:color w:val="000000"/>
          <w:sz w:val="20"/>
          <w:szCs w:val="20"/>
        </w:rPr>
      </w:pPr>
    </w:p>
    <w:p w14:paraId="39357A5F" w14:textId="77777777" w:rsidR="00916FF3" w:rsidRDefault="00916FF3" w:rsidP="00916FF3">
      <w:pPr>
        <w:pStyle w:val="NormalWeb"/>
        <w:rPr>
          <w:rFonts w:ascii="Arial" w:hAnsi="Arial" w:cs="Arial"/>
          <w:bCs/>
          <w:color w:val="000000"/>
          <w:sz w:val="20"/>
          <w:szCs w:val="20"/>
        </w:rPr>
      </w:pPr>
    </w:p>
    <w:p w14:paraId="53A46F65" w14:textId="77777777" w:rsidR="00916FF3" w:rsidRDefault="00916FF3" w:rsidP="00916FF3">
      <w:pPr>
        <w:pStyle w:val="NormalWeb"/>
        <w:rPr>
          <w:rFonts w:ascii="Arial" w:hAnsi="Arial" w:cs="Arial"/>
          <w:bCs/>
          <w:color w:val="000000"/>
          <w:sz w:val="20"/>
          <w:szCs w:val="20"/>
        </w:rPr>
      </w:pPr>
    </w:p>
    <w:p w14:paraId="665255AC" w14:textId="77777777" w:rsidR="00916FF3" w:rsidRDefault="00916FF3" w:rsidP="00916FF3">
      <w:pPr>
        <w:pStyle w:val="NormalWeb"/>
        <w:rPr>
          <w:rFonts w:ascii="Arial" w:hAnsi="Arial" w:cs="Arial"/>
          <w:bCs/>
          <w:color w:val="000000"/>
          <w:sz w:val="20"/>
          <w:szCs w:val="20"/>
        </w:rPr>
      </w:pPr>
    </w:p>
    <w:p w14:paraId="7FAD9B78" w14:textId="77777777" w:rsidR="00916FF3" w:rsidRDefault="00916FF3" w:rsidP="00916FF3">
      <w:pPr>
        <w:pStyle w:val="NormalWeb"/>
        <w:rPr>
          <w:rFonts w:ascii="Arial" w:hAnsi="Arial" w:cs="Arial"/>
          <w:bCs/>
          <w:color w:val="000000"/>
          <w:sz w:val="20"/>
          <w:szCs w:val="20"/>
        </w:rPr>
      </w:pPr>
    </w:p>
    <w:p w14:paraId="423251B1" w14:textId="77777777" w:rsidR="00916FF3" w:rsidRDefault="00916FF3" w:rsidP="00916FF3">
      <w:pPr>
        <w:pStyle w:val="NormalWeb"/>
        <w:rPr>
          <w:rFonts w:ascii="Arial" w:hAnsi="Arial" w:cs="Arial"/>
          <w:bCs/>
          <w:color w:val="000000"/>
          <w:sz w:val="20"/>
          <w:szCs w:val="20"/>
        </w:rPr>
      </w:pPr>
    </w:p>
    <w:bookmarkEnd w:id="1"/>
    <w:p w14:paraId="1D7334E6" w14:textId="77777777" w:rsidR="00916FF3" w:rsidRDefault="00916FF3"/>
    <w:p w14:paraId="28F8395A" w14:textId="77777777" w:rsidR="00916FF3" w:rsidRDefault="00916FF3" w:rsidP="00916FF3">
      <w:pPr>
        <w:pStyle w:val="NormalWeb"/>
        <w:rPr>
          <w:rFonts w:ascii="Arial" w:hAnsi="Arial" w:cs="Arial"/>
          <w:b/>
          <w:bCs/>
          <w:color w:val="000000"/>
          <w:sz w:val="20"/>
          <w:szCs w:val="20"/>
        </w:rPr>
      </w:pPr>
      <w:bookmarkStart w:id="2" w:name="OLE_LINK33"/>
      <w:bookmarkStart w:id="3" w:name="_Hlk141826267"/>
      <w:r>
        <w:rPr>
          <w:rFonts w:ascii="Arial" w:hAnsi="Arial" w:cs="Arial"/>
          <w:b/>
          <w:bCs/>
          <w:color w:val="000000"/>
          <w:sz w:val="20"/>
          <w:szCs w:val="20"/>
        </w:rPr>
        <w:lastRenderedPageBreak/>
        <w:t>Revised Regulatory Framework for Urban Co-operative Banks (UCBs) – Net Worth and Capital Adequacy</w:t>
      </w:r>
    </w:p>
    <w:bookmarkEnd w:id="2"/>
    <w:p w14:paraId="55BD04B7"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RBI/2022-23/189</w:t>
      </w:r>
      <w:r>
        <w:rPr>
          <w:rFonts w:ascii="Arial" w:hAnsi="Arial" w:cs="Arial"/>
          <w:color w:val="000000"/>
          <w:sz w:val="20"/>
          <w:szCs w:val="20"/>
        </w:rPr>
        <w:br/>
        <w:t>DOR.CAP.REC. No.109/09.18.201/2022-23</w:t>
      </w:r>
    </w:p>
    <w:p w14:paraId="4F6AC436"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March 28, 2023</w:t>
      </w:r>
    </w:p>
    <w:p w14:paraId="4DF61C6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Dear Sir/ Madam,</w:t>
      </w:r>
    </w:p>
    <w:p w14:paraId="75ABFAD2"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14:paraId="61C249F7"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para 7 of the </w:t>
      </w:r>
      <w:hyperlink r:id="rId13" w:tgtFrame="_blank" w:history="1">
        <w:r>
          <w:rPr>
            <w:rStyle w:val="Hyperlink"/>
            <w:rFonts w:ascii="Arial" w:hAnsi="Arial" w:cs="Arial"/>
            <w:sz w:val="20"/>
            <w:szCs w:val="20"/>
          </w:rPr>
          <w:t>circular DOR.CAP.REC.No.86/09.18.201/2022-23 dated December 01, 2022</w:t>
        </w:r>
      </w:hyperlink>
      <w:r>
        <w:rPr>
          <w:rFonts w:ascii="Arial" w:hAnsi="Arial" w:cs="Arial"/>
          <w:color w:val="000000"/>
          <w:sz w:val="20"/>
          <w:szCs w:val="20"/>
        </w:rPr>
        <w:t> on ‘Revised Regulatory Framework for Urban Co-operative Banks (UCBs) – Net Worth and Capital Adequacy.</w:t>
      </w:r>
    </w:p>
    <w:p w14:paraId="759C765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It has been decided that the instructions shall come into effect from March 31, 2023.</w:t>
      </w:r>
    </w:p>
    <w:p w14:paraId="0E752A92"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All other instructions of the circular ibid remain unchanged.</w:t>
      </w:r>
    </w:p>
    <w:p w14:paraId="3FEEEECB"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4C4BADB9"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(R. Lakshmi Kanth Rao)</w:t>
      </w:r>
      <w:r>
        <w:rPr>
          <w:rFonts w:ascii="Arial" w:hAnsi="Arial" w:cs="Arial"/>
          <w:color w:val="000000"/>
          <w:sz w:val="20"/>
          <w:szCs w:val="20"/>
        </w:rPr>
        <w:br/>
        <w:t>Chief General Manager-in-Charge</w:t>
      </w:r>
    </w:p>
    <w:p w14:paraId="0E547318" w14:textId="77777777" w:rsidR="00916FF3" w:rsidRDefault="00916FF3" w:rsidP="00916FF3">
      <w:pPr>
        <w:pStyle w:val="NormalWeb"/>
        <w:rPr>
          <w:rFonts w:ascii="Arial" w:hAnsi="Arial" w:cs="Arial"/>
          <w:bCs/>
          <w:color w:val="000000"/>
          <w:sz w:val="20"/>
          <w:szCs w:val="20"/>
        </w:rPr>
      </w:pPr>
    </w:p>
    <w:p w14:paraId="58D00DE0" w14:textId="77777777" w:rsidR="00916FF3" w:rsidRDefault="00916FF3" w:rsidP="00916FF3">
      <w:r>
        <w:t>More details can be referred to in the below link.</w:t>
      </w:r>
    </w:p>
    <w:p w14:paraId="40B12005"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4" w:history="1">
        <w:r w:rsidRPr="005F425E">
          <w:rPr>
            <w:rStyle w:val="Hyperlink"/>
            <w:rFonts w:ascii="Arial" w:hAnsi="Arial" w:cs="Arial"/>
            <w:bCs/>
            <w:sz w:val="20"/>
            <w:szCs w:val="20"/>
          </w:rPr>
          <w:t>https://rbi.org.in/Scripts/NotificationUser.aspx?Id=12465&amp;Mode=0</w:t>
        </w:r>
      </w:hyperlink>
    </w:p>
    <w:p w14:paraId="66262AE4" w14:textId="77777777" w:rsidR="00916FF3" w:rsidRDefault="00916FF3" w:rsidP="00916FF3">
      <w:pPr>
        <w:pStyle w:val="NormalWeb"/>
        <w:rPr>
          <w:rFonts w:ascii="Arial" w:hAnsi="Arial" w:cs="Arial"/>
          <w:bCs/>
          <w:color w:val="000000"/>
          <w:sz w:val="20"/>
          <w:szCs w:val="20"/>
        </w:rPr>
      </w:pPr>
    </w:p>
    <w:p w14:paraId="61486D2E" w14:textId="77777777" w:rsidR="00916FF3" w:rsidRDefault="00916FF3" w:rsidP="00916FF3">
      <w:pPr>
        <w:pStyle w:val="NormalWeb"/>
        <w:rPr>
          <w:rFonts w:ascii="Arial" w:hAnsi="Arial" w:cs="Arial"/>
          <w:bCs/>
          <w:color w:val="000000"/>
          <w:sz w:val="20"/>
          <w:szCs w:val="20"/>
        </w:rPr>
      </w:pPr>
    </w:p>
    <w:p w14:paraId="32915D52" w14:textId="77777777" w:rsidR="00916FF3" w:rsidRDefault="00916FF3" w:rsidP="00916FF3">
      <w:pPr>
        <w:pStyle w:val="NormalWeb"/>
        <w:rPr>
          <w:rFonts w:ascii="Arial" w:hAnsi="Arial" w:cs="Arial"/>
          <w:bCs/>
          <w:color w:val="000000"/>
          <w:sz w:val="20"/>
          <w:szCs w:val="20"/>
        </w:rPr>
      </w:pPr>
    </w:p>
    <w:p w14:paraId="0DB5E3F1" w14:textId="77777777" w:rsidR="00916FF3" w:rsidRDefault="00916FF3" w:rsidP="00916FF3">
      <w:pPr>
        <w:pStyle w:val="NormalWeb"/>
        <w:rPr>
          <w:rFonts w:ascii="Arial" w:hAnsi="Arial" w:cs="Arial"/>
          <w:bCs/>
          <w:color w:val="000000"/>
          <w:sz w:val="20"/>
          <w:szCs w:val="20"/>
        </w:rPr>
      </w:pPr>
    </w:p>
    <w:p w14:paraId="15F63D2A" w14:textId="77777777" w:rsidR="00916FF3" w:rsidRDefault="00916FF3" w:rsidP="00916FF3">
      <w:pPr>
        <w:pStyle w:val="NormalWeb"/>
        <w:rPr>
          <w:rFonts w:ascii="Arial" w:hAnsi="Arial" w:cs="Arial"/>
          <w:bCs/>
          <w:color w:val="000000"/>
          <w:sz w:val="20"/>
          <w:szCs w:val="20"/>
        </w:rPr>
      </w:pPr>
    </w:p>
    <w:p w14:paraId="229538F8" w14:textId="77777777" w:rsidR="00916FF3" w:rsidRDefault="00916FF3" w:rsidP="00916FF3">
      <w:pPr>
        <w:pStyle w:val="NormalWeb"/>
        <w:rPr>
          <w:rFonts w:ascii="Arial" w:hAnsi="Arial" w:cs="Arial"/>
          <w:bCs/>
          <w:color w:val="000000"/>
          <w:sz w:val="20"/>
          <w:szCs w:val="20"/>
        </w:rPr>
      </w:pPr>
    </w:p>
    <w:p w14:paraId="51B74B39" w14:textId="77777777" w:rsidR="00916FF3" w:rsidRDefault="00916FF3" w:rsidP="00916FF3">
      <w:pPr>
        <w:pStyle w:val="NormalWeb"/>
        <w:rPr>
          <w:rFonts w:ascii="Arial" w:hAnsi="Arial" w:cs="Arial"/>
          <w:bCs/>
          <w:color w:val="000000"/>
          <w:sz w:val="20"/>
          <w:szCs w:val="20"/>
        </w:rPr>
      </w:pPr>
    </w:p>
    <w:p w14:paraId="7FCDAE55" w14:textId="77777777" w:rsidR="00916FF3" w:rsidRDefault="00916FF3" w:rsidP="00916FF3">
      <w:pPr>
        <w:pStyle w:val="NormalWeb"/>
        <w:rPr>
          <w:rFonts w:ascii="Arial" w:hAnsi="Arial" w:cs="Arial"/>
          <w:bCs/>
          <w:color w:val="000000"/>
          <w:sz w:val="20"/>
          <w:szCs w:val="20"/>
        </w:rPr>
      </w:pPr>
    </w:p>
    <w:p w14:paraId="10A5F0E9" w14:textId="77777777" w:rsidR="00916FF3" w:rsidRDefault="00916FF3" w:rsidP="00916FF3">
      <w:pPr>
        <w:pStyle w:val="NormalWeb"/>
        <w:rPr>
          <w:rFonts w:ascii="Arial" w:hAnsi="Arial" w:cs="Arial"/>
          <w:bCs/>
          <w:color w:val="000000"/>
          <w:sz w:val="20"/>
          <w:szCs w:val="20"/>
        </w:rPr>
      </w:pPr>
    </w:p>
    <w:p w14:paraId="4917E233" w14:textId="77777777" w:rsidR="00916FF3" w:rsidRDefault="00916FF3" w:rsidP="00916FF3">
      <w:pPr>
        <w:pStyle w:val="NormalWeb"/>
        <w:rPr>
          <w:rFonts w:ascii="Arial" w:hAnsi="Arial" w:cs="Arial"/>
          <w:bCs/>
          <w:color w:val="000000"/>
          <w:sz w:val="20"/>
          <w:szCs w:val="20"/>
        </w:rPr>
      </w:pPr>
    </w:p>
    <w:p w14:paraId="344DAA46" w14:textId="77777777" w:rsidR="00916FF3" w:rsidRDefault="00916FF3" w:rsidP="00916FF3">
      <w:pPr>
        <w:pStyle w:val="NormalWeb"/>
        <w:rPr>
          <w:rFonts w:ascii="Arial" w:hAnsi="Arial" w:cs="Arial"/>
          <w:bCs/>
          <w:color w:val="000000"/>
          <w:sz w:val="20"/>
          <w:szCs w:val="20"/>
        </w:rPr>
      </w:pPr>
    </w:p>
    <w:p w14:paraId="228A20EA" w14:textId="77777777" w:rsidR="00916FF3" w:rsidRDefault="00916FF3" w:rsidP="00916FF3">
      <w:pPr>
        <w:pStyle w:val="NormalWeb"/>
        <w:rPr>
          <w:rFonts w:ascii="Arial" w:hAnsi="Arial" w:cs="Arial"/>
          <w:b/>
          <w:bCs/>
          <w:color w:val="000000"/>
          <w:sz w:val="20"/>
          <w:szCs w:val="20"/>
        </w:rPr>
      </w:pPr>
      <w:bookmarkStart w:id="4" w:name="OLE_LINK34"/>
      <w:bookmarkEnd w:id="3"/>
    </w:p>
    <w:p w14:paraId="64EB5A77" w14:textId="77777777" w:rsidR="00916FF3" w:rsidRDefault="00916FF3" w:rsidP="00916FF3">
      <w:pPr>
        <w:pStyle w:val="NormalWeb"/>
        <w:rPr>
          <w:rFonts w:ascii="Arial" w:hAnsi="Arial" w:cs="Arial"/>
          <w:b/>
          <w:bCs/>
          <w:color w:val="000000"/>
          <w:sz w:val="20"/>
          <w:szCs w:val="20"/>
        </w:rPr>
      </w:pPr>
      <w:bookmarkStart w:id="5" w:name="OLE_LINK35"/>
      <w:bookmarkStart w:id="6" w:name="_Hlk141824934"/>
      <w:bookmarkEnd w:id="4"/>
      <w:r>
        <w:rPr>
          <w:rFonts w:ascii="Arial" w:hAnsi="Arial" w:cs="Arial"/>
          <w:b/>
          <w:bCs/>
          <w:color w:val="000000"/>
          <w:sz w:val="20"/>
          <w:szCs w:val="20"/>
        </w:rPr>
        <w:lastRenderedPageBreak/>
        <w:t>Master Circular on Credit Facilities to Minority Communities</w:t>
      </w:r>
    </w:p>
    <w:bookmarkEnd w:id="5"/>
    <w:p w14:paraId="33FA68DD"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2895B3C3"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01, 2023</w:t>
      </w:r>
    </w:p>
    <w:p w14:paraId="121E12A4"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26BDC60B"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 Dear Sir,</w:t>
      </w:r>
    </w:p>
    <w:p w14:paraId="59634AC4"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513838F0"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15"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16" w:anchor="APP" w:history="1">
        <w:r>
          <w:rPr>
            <w:rStyle w:val="Hyperlink"/>
            <w:rFonts w:ascii="Arial" w:hAnsi="Arial" w:cs="Arial"/>
            <w:sz w:val="20"/>
            <w:szCs w:val="20"/>
          </w:rPr>
          <w:t>Appendix</w:t>
        </w:r>
      </w:hyperlink>
      <w:r>
        <w:rPr>
          <w:rFonts w:ascii="Arial" w:hAnsi="Arial" w:cs="Arial"/>
          <w:color w:val="000000"/>
          <w:sz w:val="20"/>
          <w:szCs w:val="20"/>
        </w:rPr>
        <w:t>.</w:t>
      </w:r>
    </w:p>
    <w:p w14:paraId="74ED3310"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4ACCF1E3"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33685BB8" w14:textId="77777777" w:rsidR="00916FF3" w:rsidRDefault="00916FF3" w:rsidP="00916FF3">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45937BE8" w14:textId="77777777" w:rsidR="00916FF3" w:rsidRDefault="00916FF3" w:rsidP="00916FF3">
      <w:pPr>
        <w:pStyle w:val="NormalWeb"/>
        <w:rPr>
          <w:rFonts w:ascii="Arial" w:hAnsi="Arial" w:cs="Arial"/>
          <w:bCs/>
          <w:color w:val="000000"/>
          <w:sz w:val="20"/>
          <w:szCs w:val="20"/>
        </w:rPr>
      </w:pPr>
    </w:p>
    <w:p w14:paraId="460559DC" w14:textId="77777777" w:rsidR="00916FF3" w:rsidRDefault="00916FF3" w:rsidP="00916FF3">
      <w:r>
        <w:t>More details can be referred to in the below link.</w:t>
      </w:r>
    </w:p>
    <w:p w14:paraId="565519F2"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7" w:history="1">
        <w:r w:rsidRPr="005F425E">
          <w:rPr>
            <w:rStyle w:val="Hyperlink"/>
            <w:rFonts w:ascii="Arial" w:hAnsi="Arial" w:cs="Arial"/>
            <w:bCs/>
            <w:sz w:val="20"/>
            <w:szCs w:val="20"/>
          </w:rPr>
          <w:t>https://rbi.org.in/Scripts/NotificationUser.aspx?Id=12467&amp;Mode=0</w:t>
        </w:r>
      </w:hyperlink>
    </w:p>
    <w:p w14:paraId="19D14EA1" w14:textId="77777777" w:rsidR="00916FF3" w:rsidRDefault="00916FF3" w:rsidP="00916FF3">
      <w:pPr>
        <w:pStyle w:val="NormalWeb"/>
        <w:rPr>
          <w:rFonts w:ascii="Arial" w:hAnsi="Arial" w:cs="Arial"/>
          <w:bCs/>
          <w:color w:val="000000"/>
          <w:sz w:val="20"/>
          <w:szCs w:val="20"/>
        </w:rPr>
      </w:pPr>
    </w:p>
    <w:p w14:paraId="0DC237AE" w14:textId="77777777" w:rsidR="00916FF3" w:rsidRDefault="00916FF3" w:rsidP="00916FF3">
      <w:pPr>
        <w:pStyle w:val="NormalWeb"/>
        <w:rPr>
          <w:rFonts w:ascii="Arial" w:hAnsi="Arial" w:cs="Arial"/>
          <w:bCs/>
          <w:color w:val="000000"/>
          <w:sz w:val="20"/>
          <w:szCs w:val="20"/>
        </w:rPr>
      </w:pPr>
    </w:p>
    <w:p w14:paraId="6EDEC2BC" w14:textId="77777777" w:rsidR="00916FF3" w:rsidRDefault="00916FF3" w:rsidP="00916FF3">
      <w:pPr>
        <w:pStyle w:val="NormalWeb"/>
        <w:rPr>
          <w:rFonts w:ascii="Arial" w:hAnsi="Arial" w:cs="Arial"/>
          <w:bCs/>
          <w:color w:val="000000"/>
          <w:sz w:val="20"/>
          <w:szCs w:val="20"/>
        </w:rPr>
      </w:pPr>
    </w:p>
    <w:p w14:paraId="72E18CCC" w14:textId="77777777" w:rsidR="00916FF3" w:rsidRDefault="00916FF3" w:rsidP="00916FF3">
      <w:pPr>
        <w:pStyle w:val="NormalWeb"/>
        <w:rPr>
          <w:rFonts w:ascii="Arial" w:hAnsi="Arial" w:cs="Arial"/>
          <w:bCs/>
          <w:color w:val="000000"/>
          <w:sz w:val="20"/>
          <w:szCs w:val="20"/>
        </w:rPr>
      </w:pPr>
    </w:p>
    <w:p w14:paraId="51E35A88" w14:textId="77777777" w:rsidR="00916FF3" w:rsidRDefault="00916FF3" w:rsidP="00916FF3">
      <w:pPr>
        <w:pStyle w:val="NormalWeb"/>
        <w:rPr>
          <w:rFonts w:ascii="Arial" w:hAnsi="Arial" w:cs="Arial"/>
          <w:bCs/>
          <w:color w:val="000000"/>
          <w:sz w:val="20"/>
          <w:szCs w:val="20"/>
        </w:rPr>
      </w:pPr>
    </w:p>
    <w:p w14:paraId="1A14E6F4" w14:textId="77777777" w:rsidR="00916FF3" w:rsidRDefault="00916FF3" w:rsidP="00916FF3">
      <w:pPr>
        <w:pStyle w:val="NormalWeb"/>
        <w:rPr>
          <w:rFonts w:ascii="Arial" w:hAnsi="Arial" w:cs="Arial"/>
          <w:bCs/>
          <w:color w:val="000000"/>
          <w:sz w:val="20"/>
          <w:szCs w:val="20"/>
        </w:rPr>
      </w:pPr>
    </w:p>
    <w:p w14:paraId="2EECE66C" w14:textId="77777777" w:rsidR="00916FF3" w:rsidRDefault="00916FF3" w:rsidP="00916FF3">
      <w:pPr>
        <w:pStyle w:val="NormalWeb"/>
        <w:rPr>
          <w:rFonts w:ascii="Arial" w:hAnsi="Arial" w:cs="Arial"/>
          <w:bCs/>
          <w:color w:val="000000"/>
          <w:sz w:val="20"/>
          <w:szCs w:val="20"/>
        </w:rPr>
      </w:pPr>
    </w:p>
    <w:p w14:paraId="51509786" w14:textId="77777777" w:rsidR="00916FF3" w:rsidRDefault="00916FF3" w:rsidP="00916FF3">
      <w:pPr>
        <w:pStyle w:val="NormalWeb"/>
        <w:rPr>
          <w:rFonts w:ascii="Arial" w:hAnsi="Arial" w:cs="Arial"/>
          <w:bCs/>
          <w:color w:val="000000"/>
          <w:sz w:val="20"/>
          <w:szCs w:val="20"/>
        </w:rPr>
      </w:pPr>
    </w:p>
    <w:p w14:paraId="1BD1C4CD" w14:textId="77777777" w:rsidR="00916FF3" w:rsidRDefault="00916FF3" w:rsidP="00916FF3">
      <w:pPr>
        <w:pStyle w:val="NormalWeb"/>
        <w:rPr>
          <w:rFonts w:ascii="Arial" w:hAnsi="Arial" w:cs="Arial"/>
          <w:bCs/>
          <w:color w:val="000000"/>
          <w:sz w:val="20"/>
          <w:szCs w:val="20"/>
        </w:rPr>
      </w:pPr>
    </w:p>
    <w:p w14:paraId="5977AD22" w14:textId="77777777" w:rsidR="00916FF3" w:rsidRDefault="00916FF3" w:rsidP="00916FF3">
      <w:pPr>
        <w:pStyle w:val="NormalWeb"/>
        <w:rPr>
          <w:rFonts w:ascii="Arial" w:hAnsi="Arial" w:cs="Arial"/>
          <w:bCs/>
          <w:color w:val="000000"/>
          <w:sz w:val="20"/>
          <w:szCs w:val="20"/>
        </w:rPr>
      </w:pPr>
    </w:p>
    <w:p w14:paraId="5F39E830" w14:textId="77777777" w:rsidR="00916FF3" w:rsidRDefault="00916FF3" w:rsidP="00916FF3">
      <w:pPr>
        <w:pStyle w:val="NormalWeb"/>
        <w:rPr>
          <w:rFonts w:ascii="Arial" w:hAnsi="Arial" w:cs="Arial"/>
          <w:bCs/>
          <w:color w:val="000000"/>
          <w:sz w:val="20"/>
          <w:szCs w:val="20"/>
        </w:rPr>
      </w:pPr>
    </w:p>
    <w:bookmarkEnd w:id="6"/>
    <w:p w14:paraId="5C0ED0DB" w14:textId="77777777" w:rsidR="00916FF3" w:rsidRDefault="00916FF3"/>
    <w:p w14:paraId="56272CDC" w14:textId="77777777" w:rsidR="00916FF3" w:rsidRDefault="00916FF3" w:rsidP="00916FF3">
      <w:pPr>
        <w:pStyle w:val="NormalWeb"/>
        <w:rPr>
          <w:rFonts w:ascii="Arial" w:hAnsi="Arial" w:cs="Arial"/>
          <w:b/>
          <w:bCs/>
          <w:color w:val="000000"/>
          <w:sz w:val="20"/>
          <w:szCs w:val="20"/>
        </w:rPr>
      </w:pPr>
      <w:bookmarkStart w:id="7" w:name="OLE_LINK36"/>
      <w:bookmarkStart w:id="8" w:name="_Hlk141824961"/>
      <w:r>
        <w:rPr>
          <w:rFonts w:ascii="Arial" w:hAnsi="Arial" w:cs="Arial"/>
          <w:b/>
          <w:bCs/>
          <w:color w:val="000000"/>
          <w:sz w:val="20"/>
          <w:szCs w:val="20"/>
        </w:rPr>
        <w:lastRenderedPageBreak/>
        <w:t>Master Circular - Credit facilities to Scheduled Castes (SCs) &amp; Scheduled Tribes (STs)</w:t>
      </w:r>
    </w:p>
    <w:bookmarkEnd w:id="7"/>
    <w:p w14:paraId="37F0CF0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2C436151"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01, 2023</w:t>
      </w:r>
    </w:p>
    <w:p w14:paraId="2FF91A1F"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026BEBDC"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 / Dear Sir,</w:t>
      </w:r>
    </w:p>
    <w:p w14:paraId="01440D2D"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2ABA17F2"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18"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19" w:anchor="APP" w:history="1">
        <w:r>
          <w:rPr>
            <w:rStyle w:val="Hyperlink"/>
            <w:rFonts w:ascii="Arial" w:hAnsi="Arial" w:cs="Arial"/>
            <w:sz w:val="20"/>
            <w:szCs w:val="20"/>
          </w:rPr>
          <w:t>Appendix</w:t>
        </w:r>
      </w:hyperlink>
      <w:r>
        <w:rPr>
          <w:rFonts w:ascii="Arial" w:hAnsi="Arial" w:cs="Arial"/>
          <w:color w:val="000000"/>
          <w:sz w:val="20"/>
          <w:szCs w:val="20"/>
        </w:rPr>
        <w:t>.</w:t>
      </w:r>
    </w:p>
    <w:p w14:paraId="403569E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5C2CF5E2"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43E1C65A" w14:textId="77777777" w:rsidR="00916FF3" w:rsidRDefault="00916FF3" w:rsidP="00916FF3">
      <w:pPr>
        <w:pStyle w:val="NormalWeb"/>
        <w:rPr>
          <w:rFonts w:ascii="Arial" w:hAnsi="Arial" w:cs="Arial"/>
          <w:bCs/>
          <w:color w:val="000000"/>
          <w:sz w:val="20"/>
          <w:szCs w:val="20"/>
        </w:rPr>
      </w:pPr>
    </w:p>
    <w:p w14:paraId="47835013" w14:textId="77777777" w:rsidR="00916FF3" w:rsidRDefault="00916FF3" w:rsidP="00916FF3">
      <w:r>
        <w:t>More details can be referred to in the below link.</w:t>
      </w:r>
    </w:p>
    <w:p w14:paraId="13A3B987"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https://rbi.org.in/Scripts/NotificationUser.aspx?Id=12468&amp;Mode=0</w:t>
        </w:r>
      </w:hyperlink>
    </w:p>
    <w:p w14:paraId="0B11349B" w14:textId="77777777" w:rsidR="00916FF3" w:rsidRDefault="00916FF3" w:rsidP="00916FF3">
      <w:pPr>
        <w:pStyle w:val="NormalWeb"/>
        <w:rPr>
          <w:rFonts w:ascii="Arial" w:hAnsi="Arial" w:cs="Arial"/>
          <w:bCs/>
          <w:color w:val="000000"/>
          <w:sz w:val="20"/>
          <w:szCs w:val="20"/>
        </w:rPr>
      </w:pPr>
    </w:p>
    <w:p w14:paraId="2E1BD981" w14:textId="77777777" w:rsidR="00916FF3" w:rsidRDefault="00916FF3" w:rsidP="00916FF3">
      <w:pPr>
        <w:pStyle w:val="NormalWeb"/>
        <w:rPr>
          <w:rFonts w:ascii="Arial" w:hAnsi="Arial" w:cs="Arial"/>
          <w:bCs/>
          <w:color w:val="000000"/>
          <w:sz w:val="20"/>
          <w:szCs w:val="20"/>
        </w:rPr>
      </w:pPr>
    </w:p>
    <w:p w14:paraId="7D73F05E" w14:textId="77777777" w:rsidR="00916FF3" w:rsidRDefault="00916FF3" w:rsidP="00916FF3">
      <w:pPr>
        <w:pStyle w:val="NormalWeb"/>
        <w:rPr>
          <w:rFonts w:ascii="Arial" w:hAnsi="Arial" w:cs="Arial"/>
          <w:bCs/>
          <w:color w:val="000000"/>
          <w:sz w:val="20"/>
          <w:szCs w:val="20"/>
        </w:rPr>
      </w:pPr>
    </w:p>
    <w:p w14:paraId="63D9436D" w14:textId="77777777" w:rsidR="00916FF3" w:rsidRDefault="00916FF3" w:rsidP="00916FF3">
      <w:pPr>
        <w:pStyle w:val="NormalWeb"/>
        <w:rPr>
          <w:rFonts w:ascii="Arial" w:hAnsi="Arial" w:cs="Arial"/>
          <w:bCs/>
          <w:color w:val="000000"/>
          <w:sz w:val="20"/>
          <w:szCs w:val="20"/>
        </w:rPr>
      </w:pPr>
    </w:p>
    <w:p w14:paraId="20FCA16A" w14:textId="77777777" w:rsidR="00916FF3" w:rsidRDefault="00916FF3" w:rsidP="00916FF3">
      <w:pPr>
        <w:pStyle w:val="NormalWeb"/>
        <w:rPr>
          <w:rFonts w:ascii="Arial" w:hAnsi="Arial" w:cs="Arial"/>
          <w:bCs/>
          <w:color w:val="000000"/>
          <w:sz w:val="20"/>
          <w:szCs w:val="20"/>
        </w:rPr>
      </w:pPr>
    </w:p>
    <w:p w14:paraId="16C919CE" w14:textId="77777777" w:rsidR="00916FF3" w:rsidRDefault="00916FF3" w:rsidP="00916FF3">
      <w:pPr>
        <w:pStyle w:val="NormalWeb"/>
        <w:rPr>
          <w:rFonts w:ascii="Arial" w:hAnsi="Arial" w:cs="Arial"/>
          <w:bCs/>
          <w:color w:val="000000"/>
          <w:sz w:val="20"/>
          <w:szCs w:val="20"/>
        </w:rPr>
      </w:pPr>
    </w:p>
    <w:p w14:paraId="3BEFB373" w14:textId="77777777" w:rsidR="00916FF3" w:rsidRDefault="00916FF3" w:rsidP="00916FF3">
      <w:pPr>
        <w:pStyle w:val="NormalWeb"/>
        <w:rPr>
          <w:rFonts w:ascii="Arial" w:hAnsi="Arial" w:cs="Arial"/>
          <w:bCs/>
          <w:color w:val="000000"/>
          <w:sz w:val="20"/>
          <w:szCs w:val="20"/>
        </w:rPr>
      </w:pPr>
    </w:p>
    <w:p w14:paraId="75C424C8" w14:textId="77777777" w:rsidR="00916FF3" w:rsidRDefault="00916FF3" w:rsidP="00916FF3">
      <w:pPr>
        <w:pStyle w:val="NormalWeb"/>
        <w:rPr>
          <w:rFonts w:ascii="Arial" w:hAnsi="Arial" w:cs="Arial"/>
          <w:bCs/>
          <w:color w:val="000000"/>
          <w:sz w:val="20"/>
          <w:szCs w:val="20"/>
        </w:rPr>
      </w:pPr>
    </w:p>
    <w:p w14:paraId="00C3FCFA" w14:textId="77777777" w:rsidR="00916FF3" w:rsidRDefault="00916FF3" w:rsidP="00916FF3">
      <w:pPr>
        <w:pStyle w:val="NormalWeb"/>
        <w:rPr>
          <w:rFonts w:ascii="Arial" w:hAnsi="Arial" w:cs="Arial"/>
          <w:bCs/>
          <w:color w:val="000000"/>
          <w:sz w:val="20"/>
          <w:szCs w:val="20"/>
        </w:rPr>
      </w:pPr>
    </w:p>
    <w:p w14:paraId="79CCC115" w14:textId="77777777" w:rsidR="00916FF3" w:rsidRDefault="00916FF3" w:rsidP="00916FF3">
      <w:pPr>
        <w:pStyle w:val="NormalWeb"/>
        <w:rPr>
          <w:rFonts w:ascii="Arial" w:hAnsi="Arial" w:cs="Arial"/>
          <w:bCs/>
          <w:color w:val="000000"/>
          <w:sz w:val="20"/>
          <w:szCs w:val="20"/>
        </w:rPr>
      </w:pPr>
    </w:p>
    <w:p w14:paraId="3F1840A9" w14:textId="77777777" w:rsidR="00916FF3" w:rsidRDefault="00916FF3" w:rsidP="00916FF3">
      <w:pPr>
        <w:pStyle w:val="NormalWeb"/>
        <w:rPr>
          <w:rFonts w:ascii="Arial" w:hAnsi="Arial" w:cs="Arial"/>
          <w:bCs/>
          <w:color w:val="000000"/>
          <w:sz w:val="20"/>
          <w:szCs w:val="20"/>
        </w:rPr>
      </w:pPr>
    </w:p>
    <w:p w14:paraId="20756658" w14:textId="77777777" w:rsidR="00916FF3" w:rsidRDefault="00916FF3" w:rsidP="00916FF3">
      <w:pPr>
        <w:pStyle w:val="NormalWeb"/>
        <w:rPr>
          <w:rFonts w:ascii="Arial" w:hAnsi="Arial" w:cs="Arial"/>
          <w:bCs/>
          <w:color w:val="000000"/>
          <w:sz w:val="20"/>
          <w:szCs w:val="20"/>
        </w:rPr>
      </w:pPr>
    </w:p>
    <w:bookmarkEnd w:id="8"/>
    <w:p w14:paraId="08395709" w14:textId="77777777" w:rsidR="00916FF3" w:rsidRDefault="00916FF3"/>
    <w:p w14:paraId="4997611A" w14:textId="77777777" w:rsidR="00916FF3" w:rsidRDefault="00916FF3" w:rsidP="00916FF3">
      <w:pPr>
        <w:pStyle w:val="NormalWeb"/>
        <w:rPr>
          <w:rFonts w:ascii="Arial" w:hAnsi="Arial" w:cs="Arial"/>
          <w:b/>
          <w:bCs/>
          <w:color w:val="000000"/>
          <w:sz w:val="20"/>
          <w:szCs w:val="20"/>
        </w:rPr>
      </w:pPr>
      <w:bookmarkStart w:id="9" w:name="OLE_LINK37"/>
      <w:bookmarkStart w:id="10" w:name="_Hlk141828706"/>
      <w:r>
        <w:rPr>
          <w:rFonts w:ascii="Arial" w:hAnsi="Arial" w:cs="Arial"/>
          <w:b/>
          <w:bCs/>
          <w:color w:val="000000"/>
          <w:sz w:val="20"/>
          <w:szCs w:val="20"/>
        </w:rPr>
        <w:lastRenderedPageBreak/>
        <w:t>Master Circular - Guarantees, Co-Acceptances &amp; Letters of Credit – UCBs</w:t>
      </w:r>
    </w:p>
    <w:bookmarkEnd w:id="9"/>
    <w:p w14:paraId="4F75035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RBI/2023-24/05</w:t>
      </w:r>
      <w:r>
        <w:rPr>
          <w:rFonts w:ascii="Arial" w:hAnsi="Arial" w:cs="Arial"/>
          <w:color w:val="000000"/>
          <w:sz w:val="20"/>
          <w:szCs w:val="20"/>
        </w:rPr>
        <w:br/>
        <w:t>DoR.STR.REC.4/09.27.000/2023-24</w:t>
      </w:r>
    </w:p>
    <w:p w14:paraId="570D8209" w14:textId="77777777" w:rsidR="00916FF3" w:rsidRDefault="00916FF3" w:rsidP="00916FF3">
      <w:pPr>
        <w:pStyle w:val="NormalWeb"/>
        <w:jc w:val="right"/>
        <w:rPr>
          <w:rFonts w:ascii="Arial" w:hAnsi="Arial" w:cs="Arial"/>
          <w:color w:val="000000"/>
          <w:sz w:val="20"/>
          <w:szCs w:val="20"/>
        </w:rPr>
      </w:pPr>
      <w:bookmarkStart w:id="11" w:name="OLE_LINK38"/>
      <w:r>
        <w:rPr>
          <w:rFonts w:ascii="Arial" w:hAnsi="Arial" w:cs="Arial"/>
          <w:color w:val="000000"/>
          <w:sz w:val="20"/>
          <w:szCs w:val="20"/>
        </w:rPr>
        <w:t>April 1, 2023</w:t>
      </w:r>
    </w:p>
    <w:bookmarkEnd w:id="11"/>
    <w:p w14:paraId="3C4268EA"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Managing Director / Chief Executive Officers</w:t>
      </w:r>
      <w:r>
        <w:rPr>
          <w:rFonts w:ascii="Arial" w:hAnsi="Arial" w:cs="Arial"/>
          <w:color w:val="000000"/>
          <w:sz w:val="20"/>
          <w:szCs w:val="20"/>
        </w:rPr>
        <w:br/>
        <w:t>All Primary (Urban) Co-operative Banks</w:t>
      </w:r>
    </w:p>
    <w:p w14:paraId="5ABFA416"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Dear Sir / Madam,</w:t>
      </w:r>
    </w:p>
    <w:p w14:paraId="0506B9FC"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14:paraId="6E19B1CA"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Please refer to our </w:t>
      </w:r>
      <w:hyperlink r:id="rId21" w:tgtFrame="_blank" w:history="1">
        <w:r>
          <w:rPr>
            <w:rStyle w:val="Hyperlink"/>
            <w:rFonts w:ascii="Arial" w:hAnsi="Arial" w:cs="Arial"/>
            <w:sz w:val="20"/>
            <w:szCs w:val="20"/>
          </w:rPr>
          <w:t>Master Circular DoR.STR.REC.9/09.27.000/2022-23 dated April 1, 2022</w:t>
        </w:r>
      </w:hyperlink>
      <w:r>
        <w:rPr>
          <w:rFonts w:ascii="Arial" w:hAnsi="Arial" w:cs="Arial"/>
          <w:color w:val="000000"/>
          <w:sz w:val="20"/>
          <w:szCs w:val="20"/>
        </w:rPr>
        <w:t> on the captioned subject (available at RBI website </w:t>
      </w:r>
      <w:hyperlink r:id="rId22" w:tgtFrame="_blank" w:history="1">
        <w:r>
          <w:rPr>
            <w:rStyle w:val="Hyperlink"/>
            <w:rFonts w:ascii="Arial" w:hAnsi="Arial" w:cs="Arial"/>
            <w:sz w:val="20"/>
            <w:szCs w:val="20"/>
          </w:rPr>
          <w:t>https://rbi.org.in/</w:t>
        </w:r>
      </w:hyperlink>
      <w:r>
        <w:rPr>
          <w:rFonts w:ascii="Arial" w:hAnsi="Arial" w:cs="Arial"/>
          <w:color w:val="000000"/>
          <w:sz w:val="20"/>
          <w:szCs w:val="20"/>
        </w:rPr>
        <w:t>). The enclosed </w:t>
      </w:r>
      <w:hyperlink r:id="rId23" w:anchor="MC1"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March 31, 2023 as listed in the </w:t>
      </w:r>
      <w:hyperlink r:id="rId24" w:anchor="AN1" w:history="1">
        <w:r>
          <w:rPr>
            <w:rStyle w:val="Hyperlink"/>
            <w:rFonts w:ascii="Arial" w:hAnsi="Arial" w:cs="Arial"/>
            <w:sz w:val="20"/>
            <w:szCs w:val="20"/>
          </w:rPr>
          <w:t>Annex</w:t>
        </w:r>
      </w:hyperlink>
      <w:r>
        <w:rPr>
          <w:rFonts w:ascii="Arial" w:hAnsi="Arial" w:cs="Arial"/>
          <w:color w:val="000000"/>
          <w:sz w:val="20"/>
          <w:szCs w:val="20"/>
        </w:rPr>
        <w:t>.</w:t>
      </w:r>
    </w:p>
    <w:p w14:paraId="6AC689E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5DA4E53D"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9FB4747" w14:textId="77777777" w:rsidR="00916FF3" w:rsidRDefault="00916FF3" w:rsidP="00916FF3">
      <w:pPr>
        <w:pStyle w:val="NormalWeb"/>
        <w:rPr>
          <w:rFonts w:ascii="Arial" w:hAnsi="Arial" w:cs="Arial"/>
          <w:bCs/>
          <w:color w:val="000000"/>
          <w:sz w:val="20"/>
          <w:szCs w:val="20"/>
        </w:rPr>
      </w:pPr>
    </w:p>
    <w:p w14:paraId="57EA3AC5" w14:textId="77777777" w:rsidR="00916FF3" w:rsidRDefault="00916FF3" w:rsidP="00916FF3">
      <w:r>
        <w:t>More details can be referred to in the below link.</w:t>
      </w:r>
    </w:p>
    <w:p w14:paraId="4FDD7873"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5" w:history="1">
        <w:r w:rsidRPr="005F425E">
          <w:rPr>
            <w:rStyle w:val="Hyperlink"/>
            <w:rFonts w:ascii="Arial" w:hAnsi="Arial" w:cs="Arial"/>
            <w:bCs/>
            <w:sz w:val="20"/>
            <w:szCs w:val="20"/>
          </w:rPr>
          <w:t>https://rbi.org.in/Scripts/NotificationUser.aspx?Id=12469&amp;Mode=0</w:t>
        </w:r>
      </w:hyperlink>
    </w:p>
    <w:p w14:paraId="7E62A84B" w14:textId="77777777" w:rsidR="00916FF3" w:rsidRDefault="00916FF3" w:rsidP="00916FF3">
      <w:pPr>
        <w:pStyle w:val="NormalWeb"/>
        <w:rPr>
          <w:rFonts w:ascii="Arial" w:hAnsi="Arial" w:cs="Arial"/>
          <w:bCs/>
          <w:color w:val="000000"/>
          <w:sz w:val="20"/>
          <w:szCs w:val="20"/>
        </w:rPr>
      </w:pPr>
    </w:p>
    <w:p w14:paraId="29DF4141" w14:textId="77777777" w:rsidR="00916FF3" w:rsidRDefault="00916FF3" w:rsidP="00916FF3">
      <w:pPr>
        <w:pStyle w:val="NormalWeb"/>
        <w:rPr>
          <w:rFonts w:ascii="Arial" w:hAnsi="Arial" w:cs="Arial"/>
          <w:bCs/>
          <w:color w:val="000000"/>
          <w:sz w:val="20"/>
          <w:szCs w:val="20"/>
        </w:rPr>
      </w:pPr>
    </w:p>
    <w:p w14:paraId="74D725C3" w14:textId="77777777" w:rsidR="00916FF3" w:rsidRDefault="00916FF3" w:rsidP="00916FF3">
      <w:pPr>
        <w:pStyle w:val="NormalWeb"/>
        <w:rPr>
          <w:rFonts w:ascii="Arial" w:hAnsi="Arial" w:cs="Arial"/>
          <w:bCs/>
          <w:color w:val="000000"/>
          <w:sz w:val="20"/>
          <w:szCs w:val="20"/>
        </w:rPr>
      </w:pPr>
    </w:p>
    <w:p w14:paraId="7CD0B128" w14:textId="77777777" w:rsidR="00916FF3" w:rsidRDefault="00916FF3" w:rsidP="00916FF3">
      <w:pPr>
        <w:pStyle w:val="NormalWeb"/>
        <w:rPr>
          <w:rFonts w:ascii="Arial" w:hAnsi="Arial" w:cs="Arial"/>
          <w:bCs/>
          <w:color w:val="000000"/>
          <w:sz w:val="20"/>
          <w:szCs w:val="20"/>
        </w:rPr>
      </w:pPr>
    </w:p>
    <w:p w14:paraId="6D294D88" w14:textId="77777777" w:rsidR="00916FF3" w:rsidRDefault="00916FF3" w:rsidP="00916FF3">
      <w:pPr>
        <w:pStyle w:val="NormalWeb"/>
        <w:rPr>
          <w:rFonts w:ascii="Arial" w:hAnsi="Arial" w:cs="Arial"/>
          <w:bCs/>
          <w:color w:val="000000"/>
          <w:sz w:val="20"/>
          <w:szCs w:val="20"/>
        </w:rPr>
      </w:pPr>
    </w:p>
    <w:p w14:paraId="649039F0" w14:textId="77777777" w:rsidR="00916FF3" w:rsidRDefault="00916FF3" w:rsidP="00916FF3">
      <w:pPr>
        <w:pStyle w:val="NormalWeb"/>
        <w:rPr>
          <w:rFonts w:ascii="Arial" w:hAnsi="Arial" w:cs="Arial"/>
          <w:bCs/>
          <w:color w:val="000000"/>
          <w:sz w:val="20"/>
          <w:szCs w:val="20"/>
        </w:rPr>
      </w:pPr>
    </w:p>
    <w:p w14:paraId="0C0B9CCF" w14:textId="77777777" w:rsidR="00916FF3" w:rsidRDefault="00916FF3" w:rsidP="00916FF3">
      <w:pPr>
        <w:pStyle w:val="NormalWeb"/>
        <w:rPr>
          <w:rFonts w:ascii="Arial" w:hAnsi="Arial" w:cs="Arial"/>
          <w:bCs/>
          <w:color w:val="000000"/>
          <w:sz w:val="20"/>
          <w:szCs w:val="20"/>
        </w:rPr>
      </w:pPr>
    </w:p>
    <w:p w14:paraId="348B64E7" w14:textId="77777777" w:rsidR="00916FF3" w:rsidRDefault="00916FF3" w:rsidP="00916FF3">
      <w:pPr>
        <w:pStyle w:val="NormalWeb"/>
        <w:rPr>
          <w:rFonts w:ascii="Arial" w:hAnsi="Arial" w:cs="Arial"/>
          <w:bCs/>
          <w:color w:val="000000"/>
          <w:sz w:val="20"/>
          <w:szCs w:val="20"/>
        </w:rPr>
      </w:pPr>
    </w:p>
    <w:p w14:paraId="62AAB221" w14:textId="77777777" w:rsidR="00916FF3" w:rsidRDefault="00916FF3" w:rsidP="00916FF3">
      <w:pPr>
        <w:pStyle w:val="NormalWeb"/>
        <w:rPr>
          <w:rFonts w:ascii="Arial" w:hAnsi="Arial" w:cs="Arial"/>
          <w:bCs/>
          <w:color w:val="000000"/>
          <w:sz w:val="20"/>
          <w:szCs w:val="20"/>
        </w:rPr>
      </w:pPr>
    </w:p>
    <w:p w14:paraId="49808F61" w14:textId="77777777" w:rsidR="00916FF3" w:rsidRDefault="00916FF3" w:rsidP="00916FF3">
      <w:pPr>
        <w:pStyle w:val="NormalWeb"/>
        <w:rPr>
          <w:rFonts w:ascii="Arial" w:hAnsi="Arial" w:cs="Arial"/>
          <w:bCs/>
          <w:color w:val="000000"/>
          <w:sz w:val="20"/>
          <w:szCs w:val="20"/>
        </w:rPr>
      </w:pPr>
    </w:p>
    <w:p w14:paraId="64094B96" w14:textId="77777777" w:rsidR="00916FF3" w:rsidRDefault="00916FF3" w:rsidP="00916FF3">
      <w:pPr>
        <w:pStyle w:val="NormalWeb"/>
        <w:rPr>
          <w:rFonts w:ascii="Arial" w:hAnsi="Arial" w:cs="Arial"/>
          <w:bCs/>
          <w:color w:val="000000"/>
          <w:sz w:val="20"/>
          <w:szCs w:val="20"/>
        </w:rPr>
      </w:pPr>
    </w:p>
    <w:p w14:paraId="53A5A10B" w14:textId="77777777" w:rsidR="00916FF3" w:rsidRDefault="00916FF3" w:rsidP="00916FF3">
      <w:pPr>
        <w:pStyle w:val="NormalWeb"/>
        <w:rPr>
          <w:rFonts w:ascii="Arial" w:hAnsi="Arial" w:cs="Arial"/>
          <w:bCs/>
          <w:color w:val="000000"/>
          <w:sz w:val="20"/>
          <w:szCs w:val="20"/>
        </w:rPr>
      </w:pPr>
    </w:p>
    <w:bookmarkEnd w:id="10"/>
    <w:p w14:paraId="0E228F0C" w14:textId="77777777" w:rsidR="00916FF3" w:rsidRDefault="00916FF3"/>
    <w:p w14:paraId="304E3D43" w14:textId="77777777" w:rsidR="00916FF3" w:rsidRDefault="00916FF3" w:rsidP="00916FF3">
      <w:pPr>
        <w:pStyle w:val="NormalWeb"/>
        <w:rPr>
          <w:rFonts w:ascii="Arial" w:hAnsi="Arial" w:cs="Arial"/>
          <w:b/>
          <w:bCs/>
          <w:color w:val="000000"/>
          <w:sz w:val="20"/>
          <w:szCs w:val="20"/>
        </w:rPr>
      </w:pPr>
      <w:bookmarkStart w:id="12" w:name="OLE_LINK42"/>
      <w:bookmarkStart w:id="13" w:name="_Hlk141826336"/>
      <w:r>
        <w:rPr>
          <w:rFonts w:ascii="Arial" w:hAnsi="Arial" w:cs="Arial"/>
          <w:b/>
          <w:bCs/>
          <w:color w:val="000000"/>
          <w:sz w:val="20"/>
          <w:szCs w:val="20"/>
        </w:rPr>
        <w:lastRenderedPageBreak/>
        <w:t>Master Direction – Reserve Bank of India (Classification, Valuation and Operation of Investment Portfolio of Primary (Urban) Co-operative Banks) Directions, 2023</w:t>
      </w:r>
    </w:p>
    <w:bookmarkEnd w:id="12"/>
    <w:p w14:paraId="4490F68D"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RBI/2023-24/96</w:t>
      </w:r>
      <w:r>
        <w:rPr>
          <w:rFonts w:ascii="Arial" w:hAnsi="Arial" w:cs="Arial"/>
          <w:color w:val="000000"/>
          <w:sz w:val="20"/>
          <w:szCs w:val="20"/>
        </w:rPr>
        <w:br/>
        <w:t>DOR.MRG.REC.01/00-00-011/2023-24</w:t>
      </w:r>
    </w:p>
    <w:p w14:paraId="084F5671"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1, 2023</w:t>
      </w:r>
    </w:p>
    <w:p w14:paraId="66B3F102"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2031D04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 / Sir,</w:t>
      </w:r>
    </w:p>
    <w:p w14:paraId="320F81D1"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(Classification, Valuation and Operation of Investment Portfolio of Primary (Urban) Co-operative Banks) Directions, 2023</w:t>
      </w:r>
    </w:p>
    <w:p w14:paraId="17F402D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Prudential Norms for Classification, Valuation and Operation of Investment Portfolio by Primary (Urban) Co-operative Banks (UCBs).</w:t>
      </w:r>
    </w:p>
    <w:p w14:paraId="071E031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To enable UCBs to have current instructions at one place, a </w:t>
      </w:r>
      <w:hyperlink r:id="rId26" w:anchor="MD" w:history="1">
        <w:r>
          <w:rPr>
            <w:rStyle w:val="Hyperlink"/>
            <w:rFonts w:ascii="Arial" w:hAnsi="Arial" w:cs="Arial"/>
            <w:sz w:val="20"/>
            <w:szCs w:val="20"/>
          </w:rPr>
          <w:t>Master Direction</w:t>
        </w:r>
      </w:hyperlink>
      <w:r>
        <w:rPr>
          <w:rFonts w:ascii="Arial" w:hAnsi="Arial" w:cs="Arial"/>
          <w:color w:val="000000"/>
          <w:sz w:val="20"/>
          <w:szCs w:val="20"/>
        </w:rPr>
        <w:t> incorporating all the existing guidelines / instructions / directives on the subject has been prepared for reference of the banks.</w:t>
      </w:r>
    </w:p>
    <w:p w14:paraId="25697567"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This Direction has been issued by RBI in exercise of its powers conferred under Section 35A of the Banking Regulation Act 1949 read with Section 56 thereof, and of all the powers enabling it in this behalf.</w:t>
      </w:r>
    </w:p>
    <w:p w14:paraId="59C9C76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2CF3DC90"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22615CDA" w14:textId="77777777" w:rsidR="00916FF3" w:rsidRDefault="00916FF3" w:rsidP="00916FF3">
      <w:r>
        <w:t>More details can be referred to in the below link.</w:t>
      </w:r>
    </w:p>
    <w:p w14:paraId="0C33D730"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7" w:history="1">
        <w:r w:rsidRPr="005F425E">
          <w:rPr>
            <w:rStyle w:val="Hyperlink"/>
            <w:rFonts w:ascii="Arial" w:hAnsi="Arial" w:cs="Arial"/>
            <w:bCs/>
            <w:sz w:val="20"/>
            <w:szCs w:val="20"/>
          </w:rPr>
          <w:t>https://rbi.org.in/Scripts/NotificationUser.aspx?Id=12473&amp;Mode=0</w:t>
        </w:r>
      </w:hyperlink>
    </w:p>
    <w:p w14:paraId="3BD3048F" w14:textId="77777777" w:rsidR="00916FF3" w:rsidRDefault="00916FF3" w:rsidP="00916FF3">
      <w:pPr>
        <w:pStyle w:val="NormalWeb"/>
        <w:rPr>
          <w:rFonts w:ascii="Arial" w:hAnsi="Arial" w:cs="Arial"/>
          <w:bCs/>
          <w:color w:val="000000"/>
          <w:sz w:val="20"/>
          <w:szCs w:val="20"/>
        </w:rPr>
      </w:pPr>
    </w:p>
    <w:p w14:paraId="2962BDAA" w14:textId="77777777" w:rsidR="00916FF3" w:rsidRDefault="00916FF3" w:rsidP="00916FF3">
      <w:pPr>
        <w:pStyle w:val="NormalWeb"/>
        <w:rPr>
          <w:rFonts w:ascii="Arial" w:hAnsi="Arial" w:cs="Arial"/>
          <w:bCs/>
          <w:color w:val="000000"/>
          <w:sz w:val="20"/>
          <w:szCs w:val="20"/>
        </w:rPr>
      </w:pPr>
    </w:p>
    <w:p w14:paraId="4C12E2D2" w14:textId="77777777" w:rsidR="00916FF3" w:rsidRDefault="00916FF3" w:rsidP="00916FF3">
      <w:pPr>
        <w:pStyle w:val="NormalWeb"/>
        <w:rPr>
          <w:rFonts w:ascii="Arial" w:hAnsi="Arial" w:cs="Arial"/>
          <w:bCs/>
          <w:color w:val="000000"/>
          <w:sz w:val="20"/>
          <w:szCs w:val="20"/>
        </w:rPr>
      </w:pPr>
    </w:p>
    <w:p w14:paraId="0B9477BF" w14:textId="77777777" w:rsidR="00916FF3" w:rsidRDefault="00916FF3" w:rsidP="00916FF3">
      <w:pPr>
        <w:pStyle w:val="NormalWeb"/>
        <w:rPr>
          <w:rFonts w:ascii="Arial" w:hAnsi="Arial" w:cs="Arial"/>
          <w:bCs/>
          <w:color w:val="000000"/>
          <w:sz w:val="20"/>
          <w:szCs w:val="20"/>
        </w:rPr>
      </w:pPr>
    </w:p>
    <w:p w14:paraId="59C28B9D" w14:textId="77777777" w:rsidR="00916FF3" w:rsidRDefault="00916FF3" w:rsidP="00916FF3">
      <w:pPr>
        <w:pStyle w:val="NormalWeb"/>
        <w:rPr>
          <w:rFonts w:ascii="Arial" w:hAnsi="Arial" w:cs="Arial"/>
          <w:bCs/>
          <w:color w:val="000000"/>
          <w:sz w:val="20"/>
          <w:szCs w:val="20"/>
        </w:rPr>
      </w:pPr>
    </w:p>
    <w:p w14:paraId="1772ECD7" w14:textId="77777777" w:rsidR="00916FF3" w:rsidRDefault="00916FF3" w:rsidP="00916FF3">
      <w:pPr>
        <w:pStyle w:val="NormalWeb"/>
        <w:rPr>
          <w:rFonts w:ascii="Arial" w:hAnsi="Arial" w:cs="Arial"/>
          <w:bCs/>
          <w:color w:val="000000"/>
          <w:sz w:val="20"/>
          <w:szCs w:val="20"/>
        </w:rPr>
      </w:pPr>
    </w:p>
    <w:p w14:paraId="2EF4AFAD" w14:textId="77777777" w:rsidR="00916FF3" w:rsidRDefault="00916FF3" w:rsidP="00916FF3">
      <w:pPr>
        <w:pStyle w:val="NormalWeb"/>
        <w:rPr>
          <w:rFonts w:ascii="Arial" w:hAnsi="Arial" w:cs="Arial"/>
          <w:bCs/>
          <w:color w:val="000000"/>
          <w:sz w:val="20"/>
          <w:szCs w:val="20"/>
        </w:rPr>
      </w:pPr>
    </w:p>
    <w:p w14:paraId="7C0442D5" w14:textId="77777777" w:rsidR="00916FF3" w:rsidRDefault="00916FF3" w:rsidP="00916FF3">
      <w:pPr>
        <w:pStyle w:val="NormalWeb"/>
        <w:rPr>
          <w:rFonts w:ascii="Arial" w:hAnsi="Arial" w:cs="Arial"/>
          <w:bCs/>
          <w:color w:val="000000"/>
          <w:sz w:val="20"/>
          <w:szCs w:val="20"/>
        </w:rPr>
      </w:pPr>
    </w:p>
    <w:p w14:paraId="667BCE10" w14:textId="77777777" w:rsidR="00916FF3" w:rsidRDefault="00916FF3" w:rsidP="00916FF3">
      <w:pPr>
        <w:pStyle w:val="NormalWeb"/>
        <w:rPr>
          <w:rFonts w:ascii="Arial" w:hAnsi="Arial" w:cs="Arial"/>
          <w:bCs/>
          <w:color w:val="000000"/>
          <w:sz w:val="20"/>
          <w:szCs w:val="20"/>
        </w:rPr>
      </w:pPr>
    </w:p>
    <w:p w14:paraId="40B21634" w14:textId="77777777" w:rsidR="00916FF3" w:rsidRDefault="00916FF3" w:rsidP="00916FF3">
      <w:pPr>
        <w:pStyle w:val="NormalWeb"/>
        <w:rPr>
          <w:rFonts w:ascii="Arial" w:hAnsi="Arial" w:cs="Arial"/>
          <w:bCs/>
          <w:color w:val="000000"/>
          <w:sz w:val="20"/>
          <w:szCs w:val="20"/>
        </w:rPr>
      </w:pPr>
    </w:p>
    <w:p w14:paraId="37BD1F2A" w14:textId="77777777" w:rsidR="00916FF3" w:rsidRDefault="00916FF3" w:rsidP="00916FF3">
      <w:pPr>
        <w:pStyle w:val="NormalWeb"/>
        <w:rPr>
          <w:rFonts w:ascii="Arial" w:hAnsi="Arial" w:cs="Arial"/>
          <w:bCs/>
          <w:color w:val="000000"/>
          <w:sz w:val="20"/>
          <w:szCs w:val="20"/>
        </w:rPr>
      </w:pPr>
      <w:bookmarkStart w:id="14" w:name="OLE_LINK48"/>
      <w:bookmarkStart w:id="15" w:name="_Hlk141828182"/>
      <w:r>
        <w:rPr>
          <w:rFonts w:ascii="Arial" w:hAnsi="Arial" w:cs="Arial"/>
          <w:b/>
          <w:bCs/>
          <w:color w:val="000000"/>
          <w:sz w:val="20"/>
          <w:szCs w:val="20"/>
        </w:rPr>
        <w:lastRenderedPageBreak/>
        <w:t>Master Direction – Facility for Exchange of Notes and Coins (</w:t>
      </w:r>
      <w:r>
        <w:rPr>
          <w:rFonts w:ascii="Arial" w:hAnsi="Arial" w:cs="Arial"/>
          <w:b/>
          <w:bCs/>
          <w:color w:val="FF0000"/>
          <w:sz w:val="20"/>
          <w:szCs w:val="20"/>
        </w:rPr>
        <w:t>Updated as on May 15, 2023</w:t>
      </w:r>
      <w:r>
        <w:rPr>
          <w:rFonts w:ascii="Arial" w:hAnsi="Arial" w:cs="Arial"/>
          <w:b/>
          <w:bCs/>
          <w:color w:val="000000"/>
          <w:sz w:val="20"/>
          <w:szCs w:val="20"/>
        </w:rPr>
        <w:t>)</w:t>
      </w:r>
    </w:p>
    <w:bookmarkEnd w:id="14"/>
    <w:p w14:paraId="6D615FB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RBI/2023-24/97</w:t>
      </w:r>
      <w:r>
        <w:rPr>
          <w:rFonts w:ascii="Arial" w:hAnsi="Arial" w:cs="Arial"/>
          <w:color w:val="000000"/>
          <w:sz w:val="20"/>
          <w:szCs w:val="20"/>
        </w:rPr>
        <w:br/>
        <w:t>DCM (NE) No.G-2/08.07.18/2023-24</w:t>
      </w:r>
    </w:p>
    <w:p w14:paraId="4BA1673D"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03, 2023</w:t>
      </w:r>
      <w:r>
        <w:rPr>
          <w:rFonts w:ascii="Arial" w:hAnsi="Arial" w:cs="Arial"/>
          <w:color w:val="000000"/>
          <w:sz w:val="20"/>
          <w:szCs w:val="20"/>
        </w:rPr>
        <w:br/>
        <w:t>(</w:t>
      </w:r>
      <w:r>
        <w:rPr>
          <w:rFonts w:ascii="Arial" w:hAnsi="Arial" w:cs="Arial"/>
          <w:color w:val="008000"/>
          <w:sz w:val="20"/>
          <w:szCs w:val="20"/>
        </w:rPr>
        <w:t>Updated as on May 15, 2023</w:t>
      </w:r>
      <w:r>
        <w:rPr>
          <w:rFonts w:ascii="Arial" w:hAnsi="Arial" w:cs="Arial"/>
          <w:color w:val="000000"/>
          <w:sz w:val="20"/>
          <w:szCs w:val="20"/>
        </w:rPr>
        <w:t>)</w:t>
      </w:r>
    </w:p>
    <w:p w14:paraId="0A0269E7"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Chairman/The Managing Director/</w:t>
      </w:r>
      <w:r>
        <w:rPr>
          <w:rFonts w:ascii="Arial" w:hAnsi="Arial" w:cs="Arial"/>
          <w:color w:val="000000"/>
          <w:sz w:val="20"/>
          <w:szCs w:val="20"/>
        </w:rPr>
        <w:br/>
        <w:t>The Chief Executive Officer</w:t>
      </w:r>
      <w:r>
        <w:rPr>
          <w:rFonts w:ascii="Arial" w:hAnsi="Arial" w:cs="Arial"/>
          <w:color w:val="000000"/>
          <w:sz w:val="20"/>
          <w:szCs w:val="20"/>
        </w:rPr>
        <w:br/>
        <w:t>All Banks</w:t>
      </w:r>
    </w:p>
    <w:p w14:paraId="19A5751F"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Madam/Dear Sir,</w:t>
      </w:r>
    </w:p>
    <w:p w14:paraId="7B8AF48F"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Direction – Facility for Exchange of Notes and Coins</w:t>
      </w:r>
    </w:p>
    <w:p w14:paraId="1CD50B0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In exercise of the powers conferred under Section 35A of the Banking Regulation Act, 1949, read with sections 28, 38, 39, 58(1) and 58(2)(q) of the Reserve Bank of India Act, 1934, the Reserve Bank of India being satisfied that it is necessary and expedient in the public interest so to do, hereby, issues the </w:t>
      </w:r>
      <w:hyperlink r:id="rId28" w:anchor="MD1" w:history="1">
        <w:r>
          <w:rPr>
            <w:rStyle w:val="Hyperlink"/>
            <w:rFonts w:ascii="Arial" w:hAnsi="Arial" w:cs="Arial"/>
            <w:sz w:val="20"/>
            <w:szCs w:val="20"/>
          </w:rPr>
          <w:t>Directions</w:t>
        </w:r>
      </w:hyperlink>
      <w:r>
        <w:rPr>
          <w:rFonts w:ascii="Arial" w:hAnsi="Arial" w:cs="Arial"/>
          <w:color w:val="000000"/>
          <w:sz w:val="20"/>
          <w:szCs w:val="20"/>
        </w:rPr>
        <w:t> hereinafter specified.</w:t>
      </w:r>
    </w:p>
    <w:p w14:paraId="34152020"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297E4CE2"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14:paraId="6D584B19" w14:textId="77777777" w:rsidR="00916FF3" w:rsidRDefault="00916FF3" w:rsidP="00916FF3">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F45E57B" w14:textId="77777777" w:rsidR="00916FF3" w:rsidRDefault="00916FF3" w:rsidP="00916FF3">
      <w:pPr>
        <w:pStyle w:val="NormalWeb"/>
        <w:rPr>
          <w:rFonts w:ascii="Arial" w:hAnsi="Arial" w:cs="Arial"/>
          <w:bCs/>
          <w:color w:val="000000"/>
          <w:sz w:val="20"/>
          <w:szCs w:val="20"/>
        </w:rPr>
      </w:pPr>
    </w:p>
    <w:p w14:paraId="678192FF" w14:textId="77777777" w:rsidR="00916FF3" w:rsidRDefault="00916FF3" w:rsidP="00916FF3">
      <w:pPr>
        <w:pStyle w:val="NormalWeb"/>
        <w:rPr>
          <w:rFonts w:ascii="Arial" w:hAnsi="Arial" w:cs="Arial"/>
          <w:bCs/>
          <w:color w:val="000000"/>
          <w:sz w:val="20"/>
          <w:szCs w:val="20"/>
        </w:rPr>
      </w:pPr>
    </w:p>
    <w:p w14:paraId="70F12F74" w14:textId="77777777" w:rsidR="00916FF3" w:rsidRDefault="00916FF3" w:rsidP="00916FF3">
      <w:r>
        <w:t>More details can be referred to in the below link.</w:t>
      </w:r>
    </w:p>
    <w:p w14:paraId="6FB667C7"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29" w:history="1">
        <w:r w:rsidRPr="005F425E">
          <w:rPr>
            <w:rStyle w:val="Hyperlink"/>
            <w:rFonts w:ascii="Arial" w:hAnsi="Arial" w:cs="Arial"/>
            <w:bCs/>
            <w:sz w:val="20"/>
            <w:szCs w:val="20"/>
          </w:rPr>
          <w:t>https://rbi.org.in/Scripts/NotificationUser.aspx?Id=12479&amp;Mode=0</w:t>
        </w:r>
      </w:hyperlink>
    </w:p>
    <w:p w14:paraId="43B83A33" w14:textId="77777777" w:rsidR="00916FF3" w:rsidRDefault="00916FF3" w:rsidP="00916FF3">
      <w:pPr>
        <w:pStyle w:val="NormalWeb"/>
        <w:rPr>
          <w:rFonts w:ascii="Arial" w:hAnsi="Arial" w:cs="Arial"/>
          <w:bCs/>
          <w:color w:val="000000"/>
          <w:sz w:val="20"/>
          <w:szCs w:val="20"/>
        </w:rPr>
      </w:pPr>
    </w:p>
    <w:p w14:paraId="0D9D8894" w14:textId="77777777" w:rsidR="00916FF3" w:rsidRDefault="00916FF3" w:rsidP="00916FF3">
      <w:pPr>
        <w:pStyle w:val="NormalWeb"/>
        <w:rPr>
          <w:rFonts w:ascii="Arial" w:hAnsi="Arial" w:cs="Arial"/>
          <w:bCs/>
          <w:color w:val="000000"/>
          <w:sz w:val="20"/>
          <w:szCs w:val="20"/>
        </w:rPr>
      </w:pPr>
    </w:p>
    <w:p w14:paraId="6F8D4545" w14:textId="77777777" w:rsidR="00916FF3" w:rsidRDefault="00916FF3" w:rsidP="00916FF3">
      <w:pPr>
        <w:pStyle w:val="NormalWeb"/>
        <w:rPr>
          <w:rFonts w:ascii="Arial" w:hAnsi="Arial" w:cs="Arial"/>
          <w:bCs/>
          <w:color w:val="000000"/>
          <w:sz w:val="20"/>
          <w:szCs w:val="20"/>
        </w:rPr>
      </w:pPr>
    </w:p>
    <w:p w14:paraId="19A7480D" w14:textId="77777777" w:rsidR="00916FF3" w:rsidRDefault="00916FF3" w:rsidP="00916FF3">
      <w:pPr>
        <w:pStyle w:val="NormalWeb"/>
        <w:rPr>
          <w:rFonts w:ascii="Arial" w:hAnsi="Arial" w:cs="Arial"/>
          <w:bCs/>
          <w:color w:val="000000"/>
          <w:sz w:val="20"/>
          <w:szCs w:val="20"/>
        </w:rPr>
      </w:pPr>
    </w:p>
    <w:p w14:paraId="4183E86C" w14:textId="77777777" w:rsidR="00916FF3" w:rsidRDefault="00916FF3" w:rsidP="00916FF3">
      <w:pPr>
        <w:pStyle w:val="NormalWeb"/>
        <w:rPr>
          <w:rFonts w:ascii="Arial" w:hAnsi="Arial" w:cs="Arial"/>
          <w:bCs/>
          <w:color w:val="000000"/>
          <w:sz w:val="20"/>
          <w:szCs w:val="20"/>
        </w:rPr>
      </w:pPr>
    </w:p>
    <w:p w14:paraId="7C785EEF" w14:textId="77777777" w:rsidR="00916FF3" w:rsidRDefault="00916FF3" w:rsidP="00916FF3">
      <w:pPr>
        <w:pStyle w:val="NormalWeb"/>
        <w:rPr>
          <w:rFonts w:ascii="Arial" w:hAnsi="Arial" w:cs="Arial"/>
          <w:bCs/>
          <w:color w:val="000000"/>
          <w:sz w:val="20"/>
          <w:szCs w:val="20"/>
        </w:rPr>
      </w:pPr>
    </w:p>
    <w:p w14:paraId="30DEDFA6" w14:textId="77777777" w:rsidR="00916FF3" w:rsidRDefault="00916FF3" w:rsidP="00916FF3">
      <w:pPr>
        <w:pStyle w:val="NormalWeb"/>
        <w:rPr>
          <w:rFonts w:ascii="Arial" w:hAnsi="Arial" w:cs="Arial"/>
          <w:bCs/>
          <w:color w:val="000000"/>
          <w:sz w:val="20"/>
          <w:szCs w:val="20"/>
        </w:rPr>
      </w:pPr>
    </w:p>
    <w:p w14:paraId="7136C1A3" w14:textId="77777777" w:rsidR="00916FF3" w:rsidRDefault="00916FF3" w:rsidP="00916FF3">
      <w:pPr>
        <w:pStyle w:val="NormalWeb"/>
        <w:rPr>
          <w:rFonts w:ascii="Arial" w:hAnsi="Arial" w:cs="Arial"/>
          <w:bCs/>
          <w:color w:val="000000"/>
          <w:sz w:val="20"/>
          <w:szCs w:val="20"/>
        </w:rPr>
      </w:pPr>
    </w:p>
    <w:p w14:paraId="5CAF7E5A" w14:textId="77777777" w:rsidR="00916FF3" w:rsidRDefault="00916FF3" w:rsidP="00916FF3">
      <w:pPr>
        <w:pStyle w:val="NormalWeb"/>
        <w:rPr>
          <w:rFonts w:ascii="Arial" w:hAnsi="Arial" w:cs="Arial"/>
          <w:bCs/>
          <w:color w:val="000000"/>
          <w:sz w:val="20"/>
          <w:szCs w:val="20"/>
        </w:rPr>
      </w:pPr>
    </w:p>
    <w:bookmarkEnd w:id="15"/>
    <w:p w14:paraId="323FAF8A" w14:textId="77777777" w:rsidR="00916FF3" w:rsidRDefault="00916FF3" w:rsidP="00916FF3">
      <w:pPr>
        <w:pStyle w:val="NormalWeb"/>
        <w:rPr>
          <w:rFonts w:ascii="Arial" w:hAnsi="Arial" w:cs="Arial"/>
          <w:bCs/>
          <w:color w:val="000000"/>
          <w:sz w:val="20"/>
          <w:szCs w:val="20"/>
        </w:rPr>
      </w:pPr>
    </w:p>
    <w:p w14:paraId="6E0FC296" w14:textId="77777777" w:rsidR="00916FF3" w:rsidRDefault="00916FF3" w:rsidP="00916FF3">
      <w:pPr>
        <w:pStyle w:val="NormalWeb"/>
        <w:jc w:val="both"/>
        <w:rPr>
          <w:rFonts w:ascii="Arial" w:hAnsi="Arial" w:cs="Arial"/>
          <w:b/>
          <w:bCs/>
          <w:color w:val="000000"/>
          <w:sz w:val="20"/>
          <w:szCs w:val="20"/>
        </w:rPr>
      </w:pPr>
      <w:bookmarkStart w:id="16" w:name="OLE_LINK49"/>
      <w:bookmarkStart w:id="17" w:name="_Hlk141825943"/>
      <w:r>
        <w:rPr>
          <w:rFonts w:ascii="Arial" w:hAnsi="Arial" w:cs="Arial"/>
          <w:b/>
          <w:bCs/>
          <w:color w:val="000000"/>
          <w:sz w:val="20"/>
          <w:szCs w:val="20"/>
        </w:rPr>
        <w:lastRenderedPageBreak/>
        <w:t>Master Direction on Counterfeit Notes, 2023 - Detection, Reporting and Monitoring</w:t>
      </w:r>
    </w:p>
    <w:bookmarkEnd w:id="16"/>
    <w:p w14:paraId="6DA8E807"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RBI/2023-24/98</w:t>
      </w:r>
      <w:r>
        <w:rPr>
          <w:rFonts w:ascii="Arial" w:hAnsi="Arial" w:cs="Arial"/>
          <w:color w:val="000000"/>
          <w:sz w:val="20"/>
          <w:szCs w:val="20"/>
        </w:rPr>
        <w:br/>
        <w:t>DCM (FNVD)/G-1/16.01.05/2023-24</w:t>
      </w:r>
    </w:p>
    <w:p w14:paraId="03DA5859"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03, 2023</w:t>
      </w:r>
    </w:p>
    <w:p w14:paraId="6A7BEEEC"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Chairman/ Managing Director /Chief Executive Officer</w:t>
      </w:r>
      <w:r>
        <w:rPr>
          <w:rFonts w:ascii="Arial" w:hAnsi="Arial" w:cs="Arial"/>
          <w:color w:val="000000"/>
          <w:sz w:val="20"/>
          <w:szCs w:val="20"/>
        </w:rPr>
        <w:br/>
        <w:t>All Banks</w:t>
      </w:r>
    </w:p>
    <w:p w14:paraId="2F89D476"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Dear Sir / Madam,</w:t>
      </w:r>
    </w:p>
    <w:p w14:paraId="55A88EF4"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Direction on Counterfeit Notes, 2023 - Detection, Reporting and Monitoring</w:t>
      </w:r>
    </w:p>
    <w:p w14:paraId="3E81098C"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instructions/ directives to the banks on counterfeit notes.</w:t>
      </w:r>
    </w:p>
    <w:p w14:paraId="775810B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A Master Direction incorporating and updating the extant guidelines /instructions/ directives on the subject has been prepared to enable banks to have all current instructions on counterfeit note at one place for reference.</w:t>
      </w:r>
    </w:p>
    <w:p w14:paraId="0885C93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Reserve Bank of India has issued this </w:t>
      </w:r>
      <w:hyperlink r:id="rId30" w:anchor="AN" w:history="1">
        <w:r>
          <w:rPr>
            <w:rStyle w:val="Hyperlink"/>
            <w:rFonts w:ascii="Arial" w:hAnsi="Arial" w:cs="Arial"/>
            <w:sz w:val="20"/>
            <w:szCs w:val="20"/>
          </w:rPr>
          <w:t>Direction</w:t>
        </w:r>
      </w:hyperlink>
      <w:r>
        <w:rPr>
          <w:rFonts w:ascii="Arial" w:hAnsi="Arial" w:cs="Arial"/>
          <w:color w:val="000000"/>
          <w:sz w:val="20"/>
          <w:szCs w:val="20"/>
        </w:rPr>
        <w:t> in exercise of its powers conferred under Section 35A and Section 56 of the Banking Regulation Act, 1949.</w:t>
      </w:r>
    </w:p>
    <w:p w14:paraId="0F853EB1"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05C2BB82"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14:paraId="1AA02E57" w14:textId="77777777" w:rsidR="00916FF3" w:rsidRDefault="00916FF3" w:rsidP="00916FF3">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E1E775B" w14:textId="77777777" w:rsidR="00916FF3" w:rsidRDefault="00916FF3" w:rsidP="00916FF3">
      <w:pPr>
        <w:pStyle w:val="NormalWeb"/>
        <w:rPr>
          <w:rFonts w:ascii="Arial" w:hAnsi="Arial" w:cs="Arial"/>
          <w:bCs/>
          <w:color w:val="000000"/>
          <w:sz w:val="20"/>
          <w:szCs w:val="20"/>
        </w:rPr>
      </w:pPr>
    </w:p>
    <w:p w14:paraId="41D596EE" w14:textId="77777777" w:rsidR="00916FF3" w:rsidRDefault="00916FF3" w:rsidP="00916FF3">
      <w:r>
        <w:t>More details can be referred to in the below link.</w:t>
      </w:r>
    </w:p>
    <w:p w14:paraId="3A0BFD21"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1" w:history="1">
        <w:r w:rsidRPr="005F425E">
          <w:rPr>
            <w:rStyle w:val="Hyperlink"/>
            <w:rFonts w:ascii="Arial" w:hAnsi="Arial" w:cs="Arial"/>
            <w:bCs/>
            <w:sz w:val="20"/>
            <w:szCs w:val="20"/>
          </w:rPr>
          <w:t>https://rbi.org.in/Scripts/NotificationUser.aspx?Id=12480&amp;Mode=0</w:t>
        </w:r>
      </w:hyperlink>
    </w:p>
    <w:p w14:paraId="78FABE91" w14:textId="77777777" w:rsidR="00916FF3" w:rsidRDefault="00916FF3" w:rsidP="00916FF3">
      <w:pPr>
        <w:pStyle w:val="NormalWeb"/>
        <w:rPr>
          <w:rFonts w:ascii="Arial" w:hAnsi="Arial" w:cs="Arial"/>
          <w:bCs/>
          <w:color w:val="000000"/>
          <w:sz w:val="20"/>
          <w:szCs w:val="20"/>
        </w:rPr>
      </w:pPr>
    </w:p>
    <w:p w14:paraId="466DA9E0" w14:textId="77777777" w:rsidR="00916FF3" w:rsidRDefault="00916FF3" w:rsidP="00916FF3">
      <w:pPr>
        <w:pStyle w:val="NormalWeb"/>
        <w:rPr>
          <w:rFonts w:ascii="Arial" w:hAnsi="Arial" w:cs="Arial"/>
          <w:bCs/>
          <w:color w:val="000000"/>
          <w:sz w:val="20"/>
          <w:szCs w:val="20"/>
        </w:rPr>
      </w:pPr>
    </w:p>
    <w:p w14:paraId="781AD11C" w14:textId="77777777" w:rsidR="00916FF3" w:rsidRDefault="00916FF3" w:rsidP="00916FF3">
      <w:pPr>
        <w:pStyle w:val="NormalWeb"/>
        <w:rPr>
          <w:rFonts w:ascii="Arial" w:hAnsi="Arial" w:cs="Arial"/>
          <w:bCs/>
          <w:color w:val="000000"/>
          <w:sz w:val="20"/>
          <w:szCs w:val="20"/>
        </w:rPr>
      </w:pPr>
    </w:p>
    <w:p w14:paraId="37D51E1A" w14:textId="77777777" w:rsidR="00916FF3" w:rsidRDefault="00916FF3" w:rsidP="00916FF3">
      <w:pPr>
        <w:pStyle w:val="NormalWeb"/>
        <w:rPr>
          <w:rFonts w:ascii="Arial" w:hAnsi="Arial" w:cs="Arial"/>
          <w:bCs/>
          <w:color w:val="000000"/>
          <w:sz w:val="20"/>
          <w:szCs w:val="20"/>
        </w:rPr>
      </w:pPr>
    </w:p>
    <w:p w14:paraId="05F099E6" w14:textId="77777777" w:rsidR="00916FF3" w:rsidRDefault="00916FF3" w:rsidP="00916FF3">
      <w:pPr>
        <w:pStyle w:val="NormalWeb"/>
        <w:rPr>
          <w:rFonts w:ascii="Arial" w:hAnsi="Arial" w:cs="Arial"/>
          <w:bCs/>
          <w:color w:val="000000"/>
          <w:sz w:val="20"/>
          <w:szCs w:val="20"/>
        </w:rPr>
      </w:pPr>
    </w:p>
    <w:p w14:paraId="7A4CC6D8" w14:textId="77777777" w:rsidR="00916FF3" w:rsidRDefault="00916FF3" w:rsidP="00916FF3">
      <w:pPr>
        <w:pStyle w:val="NormalWeb"/>
        <w:rPr>
          <w:rFonts w:ascii="Arial" w:hAnsi="Arial" w:cs="Arial"/>
          <w:bCs/>
          <w:color w:val="000000"/>
          <w:sz w:val="20"/>
          <w:szCs w:val="20"/>
        </w:rPr>
      </w:pPr>
    </w:p>
    <w:p w14:paraId="6E7558CF" w14:textId="77777777" w:rsidR="00916FF3" w:rsidRDefault="00916FF3" w:rsidP="00916FF3">
      <w:pPr>
        <w:pStyle w:val="NormalWeb"/>
        <w:rPr>
          <w:rFonts w:ascii="Arial" w:hAnsi="Arial" w:cs="Arial"/>
          <w:bCs/>
          <w:color w:val="000000"/>
          <w:sz w:val="20"/>
          <w:szCs w:val="20"/>
        </w:rPr>
      </w:pPr>
    </w:p>
    <w:p w14:paraId="26DCDF48" w14:textId="77777777" w:rsidR="00916FF3" w:rsidRDefault="00916FF3" w:rsidP="00916FF3">
      <w:pPr>
        <w:pStyle w:val="NormalWeb"/>
        <w:rPr>
          <w:rFonts w:ascii="Arial" w:hAnsi="Arial" w:cs="Arial"/>
          <w:bCs/>
          <w:color w:val="000000"/>
          <w:sz w:val="20"/>
          <w:szCs w:val="20"/>
        </w:rPr>
      </w:pPr>
    </w:p>
    <w:bookmarkEnd w:id="17"/>
    <w:p w14:paraId="376B613B" w14:textId="77777777" w:rsidR="00916FF3" w:rsidRDefault="00916FF3" w:rsidP="00916FF3">
      <w:pPr>
        <w:pStyle w:val="NormalWeb"/>
        <w:rPr>
          <w:rFonts w:ascii="Arial" w:hAnsi="Arial" w:cs="Arial"/>
          <w:bCs/>
          <w:color w:val="000000"/>
          <w:sz w:val="20"/>
          <w:szCs w:val="20"/>
        </w:rPr>
      </w:pPr>
    </w:p>
    <w:p w14:paraId="50CD524F" w14:textId="77777777" w:rsidR="00916FF3" w:rsidRDefault="00916FF3" w:rsidP="00916FF3">
      <w:pPr>
        <w:pStyle w:val="NormalWeb"/>
        <w:rPr>
          <w:rFonts w:ascii="Arial" w:hAnsi="Arial" w:cs="Arial"/>
          <w:b/>
          <w:bCs/>
          <w:color w:val="000000"/>
          <w:sz w:val="20"/>
          <w:szCs w:val="20"/>
        </w:rPr>
      </w:pPr>
      <w:bookmarkStart w:id="18" w:name="_Hlk141827671"/>
      <w:r>
        <w:rPr>
          <w:rFonts w:ascii="Arial" w:hAnsi="Arial" w:cs="Arial"/>
          <w:b/>
          <w:bCs/>
          <w:color w:val="000000"/>
          <w:sz w:val="20"/>
          <w:szCs w:val="20"/>
        </w:rPr>
        <w:lastRenderedPageBreak/>
        <w:t>Master Circular - Housing Finance for UCBs</w:t>
      </w:r>
    </w:p>
    <w:p w14:paraId="6FDB730B"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RBI/2023-24/15</w:t>
      </w:r>
      <w:r>
        <w:rPr>
          <w:rFonts w:ascii="Arial" w:hAnsi="Arial" w:cs="Arial"/>
          <w:color w:val="000000"/>
          <w:sz w:val="20"/>
          <w:szCs w:val="20"/>
        </w:rPr>
        <w:br/>
        <w:t>DOR.CRE.REC.No.9/07.10.002/2023-24</w:t>
      </w:r>
    </w:p>
    <w:p w14:paraId="50D95EBD"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11, 2023</w:t>
      </w:r>
    </w:p>
    <w:p w14:paraId="3E14484F"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2B26DBC3"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Madam/Dear Sir,</w:t>
      </w:r>
    </w:p>
    <w:p w14:paraId="0CC9923F"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Circular - Housing Finance for UCBs</w:t>
      </w:r>
    </w:p>
    <w:p w14:paraId="2BFC3C87"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32" w:tgtFrame="_blank" w:history="1">
        <w:r>
          <w:rPr>
            <w:rStyle w:val="Hyperlink"/>
            <w:rFonts w:ascii="Arial" w:hAnsi="Arial" w:cs="Arial"/>
            <w:sz w:val="20"/>
            <w:szCs w:val="20"/>
          </w:rPr>
          <w:t>Master Circular DOR.CRE.REC.No.49/09.22.010/2022-23 dated June 23, 2022</w:t>
        </w:r>
      </w:hyperlink>
      <w:r>
        <w:rPr>
          <w:rFonts w:ascii="Arial" w:hAnsi="Arial" w:cs="Arial"/>
          <w:color w:val="000000"/>
          <w:sz w:val="20"/>
          <w:szCs w:val="20"/>
        </w:rPr>
        <w:t> on the captioned subject (available at RBI website </w:t>
      </w:r>
      <w:hyperlink r:id="rId33" w:tgtFrame="_blank" w:history="1">
        <w:r>
          <w:rPr>
            <w:rStyle w:val="Hyperlink"/>
            <w:rFonts w:ascii="Arial" w:hAnsi="Arial" w:cs="Arial"/>
            <w:sz w:val="20"/>
            <w:szCs w:val="20"/>
          </w:rPr>
          <w:t>https://rbi.org.in/</w:t>
        </w:r>
      </w:hyperlink>
      <w:hyperlink r:id="rId34" w:history="1">
        <w:r>
          <w:rPr>
            <w:rStyle w:val="Hyperlink"/>
            <w:rFonts w:ascii="Arial" w:hAnsi="Arial" w:cs="Arial"/>
            <w:sz w:val="20"/>
            <w:szCs w:val="20"/>
          </w:rPr>
          <w:t>)</w:t>
        </w:r>
      </w:hyperlink>
      <w:r>
        <w:rPr>
          <w:rFonts w:ascii="Arial" w:hAnsi="Arial" w:cs="Arial"/>
          <w:color w:val="000000"/>
          <w:sz w:val="20"/>
          <w:szCs w:val="20"/>
        </w:rPr>
        <w:t>. The enclosed </w:t>
      </w:r>
      <w:hyperlink r:id="rId35" w:anchor="_Master_Circular"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w:t>
      </w:r>
    </w:p>
    <w:p w14:paraId="06AABF05"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5F6ECA3A"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385101BD" w14:textId="77777777" w:rsidR="00916FF3" w:rsidRDefault="00916FF3" w:rsidP="00916FF3">
      <w:pPr>
        <w:pStyle w:val="NormalWeb"/>
        <w:rPr>
          <w:rFonts w:ascii="Arial" w:hAnsi="Arial" w:cs="Arial"/>
          <w:b/>
          <w:bCs/>
          <w:color w:val="000000"/>
          <w:sz w:val="20"/>
          <w:szCs w:val="20"/>
        </w:rPr>
      </w:pPr>
    </w:p>
    <w:p w14:paraId="16BC945E" w14:textId="77777777" w:rsidR="00916FF3" w:rsidRDefault="00916FF3" w:rsidP="00916FF3">
      <w:pPr>
        <w:pStyle w:val="NormalWeb"/>
        <w:rPr>
          <w:rFonts w:ascii="Arial" w:hAnsi="Arial" w:cs="Arial"/>
          <w:b/>
          <w:bCs/>
          <w:color w:val="000000"/>
          <w:sz w:val="20"/>
          <w:szCs w:val="20"/>
        </w:rPr>
      </w:pPr>
    </w:p>
    <w:p w14:paraId="5B94926B" w14:textId="77777777" w:rsidR="00916FF3" w:rsidRDefault="00916FF3" w:rsidP="00916FF3">
      <w:pPr>
        <w:pStyle w:val="NormalWeb"/>
        <w:rPr>
          <w:rFonts w:ascii="Arial" w:hAnsi="Arial" w:cs="Arial"/>
          <w:b/>
          <w:bCs/>
          <w:color w:val="000000"/>
          <w:sz w:val="20"/>
          <w:szCs w:val="20"/>
        </w:rPr>
      </w:pPr>
    </w:p>
    <w:p w14:paraId="6DC1FC84" w14:textId="77777777" w:rsidR="00916FF3" w:rsidRDefault="00916FF3" w:rsidP="00916FF3">
      <w:pPr>
        <w:pStyle w:val="NormalWeb"/>
        <w:rPr>
          <w:rFonts w:ascii="Arial" w:hAnsi="Arial" w:cs="Arial"/>
          <w:b/>
          <w:bCs/>
          <w:color w:val="000000"/>
          <w:sz w:val="20"/>
          <w:szCs w:val="20"/>
        </w:rPr>
      </w:pPr>
    </w:p>
    <w:p w14:paraId="46015880" w14:textId="77777777" w:rsidR="00916FF3" w:rsidRDefault="00916FF3" w:rsidP="00916FF3">
      <w:pPr>
        <w:pStyle w:val="NormalWeb"/>
        <w:rPr>
          <w:rFonts w:ascii="Arial" w:hAnsi="Arial" w:cs="Arial"/>
          <w:b/>
          <w:bCs/>
          <w:color w:val="000000"/>
          <w:sz w:val="20"/>
          <w:szCs w:val="20"/>
        </w:rPr>
      </w:pPr>
    </w:p>
    <w:p w14:paraId="3CAD0CC7" w14:textId="77777777" w:rsidR="00916FF3" w:rsidRDefault="00916FF3" w:rsidP="00916FF3">
      <w:pPr>
        <w:pStyle w:val="NormalWeb"/>
        <w:rPr>
          <w:rFonts w:ascii="Arial" w:hAnsi="Arial" w:cs="Arial"/>
          <w:b/>
          <w:bCs/>
          <w:color w:val="000000"/>
          <w:sz w:val="20"/>
          <w:szCs w:val="20"/>
        </w:rPr>
      </w:pPr>
    </w:p>
    <w:p w14:paraId="55D005CF" w14:textId="77777777" w:rsidR="00916FF3" w:rsidRDefault="00916FF3" w:rsidP="00916FF3">
      <w:pPr>
        <w:pStyle w:val="NormalWeb"/>
        <w:rPr>
          <w:rFonts w:ascii="Arial" w:hAnsi="Arial" w:cs="Arial"/>
          <w:b/>
          <w:bCs/>
          <w:color w:val="000000"/>
          <w:sz w:val="20"/>
          <w:szCs w:val="20"/>
        </w:rPr>
      </w:pPr>
    </w:p>
    <w:p w14:paraId="287BB609" w14:textId="77777777" w:rsidR="00916FF3" w:rsidRDefault="00916FF3" w:rsidP="00916FF3">
      <w:pPr>
        <w:spacing w:after="0"/>
      </w:pPr>
      <w:r>
        <w:t>More details can be referred to in the below link.</w:t>
      </w:r>
    </w:p>
    <w:p w14:paraId="2D0336F6"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6" w:history="1">
        <w:r w:rsidRPr="004C4073">
          <w:rPr>
            <w:rStyle w:val="Hyperlink"/>
            <w:rFonts w:ascii="Arial" w:hAnsi="Arial" w:cs="Arial"/>
            <w:bCs/>
            <w:sz w:val="20"/>
            <w:szCs w:val="20"/>
          </w:rPr>
          <w:t>https://rbi.org.in/Scripts/BS_ViewMasCirculardetails.aspx?id=12488</w:t>
        </w:r>
      </w:hyperlink>
    </w:p>
    <w:p w14:paraId="6F603DFA" w14:textId="77777777" w:rsidR="00916FF3" w:rsidRDefault="00916FF3" w:rsidP="00916FF3">
      <w:pPr>
        <w:pStyle w:val="NormalWeb"/>
        <w:rPr>
          <w:rFonts w:ascii="Arial" w:hAnsi="Arial" w:cs="Arial"/>
          <w:bCs/>
          <w:color w:val="000000"/>
          <w:sz w:val="20"/>
          <w:szCs w:val="20"/>
        </w:rPr>
      </w:pPr>
    </w:p>
    <w:p w14:paraId="5A368C04" w14:textId="77777777" w:rsidR="00916FF3" w:rsidRDefault="00916FF3" w:rsidP="00916FF3">
      <w:pPr>
        <w:pStyle w:val="NormalWeb"/>
        <w:rPr>
          <w:rFonts w:ascii="Arial" w:hAnsi="Arial" w:cs="Arial"/>
          <w:b/>
          <w:bCs/>
          <w:color w:val="000000"/>
          <w:sz w:val="20"/>
          <w:szCs w:val="20"/>
        </w:rPr>
      </w:pPr>
    </w:p>
    <w:p w14:paraId="79A65A61" w14:textId="77777777" w:rsidR="00916FF3" w:rsidRDefault="00916FF3" w:rsidP="00916FF3">
      <w:pPr>
        <w:pStyle w:val="NormalWeb"/>
        <w:rPr>
          <w:rFonts w:ascii="Arial" w:hAnsi="Arial" w:cs="Arial"/>
          <w:b/>
          <w:bCs/>
          <w:color w:val="000000"/>
          <w:sz w:val="20"/>
          <w:szCs w:val="20"/>
        </w:rPr>
      </w:pPr>
    </w:p>
    <w:p w14:paraId="7DE62EC6" w14:textId="77777777" w:rsidR="00916FF3" w:rsidRDefault="00916FF3" w:rsidP="00916FF3">
      <w:pPr>
        <w:pStyle w:val="NormalWeb"/>
        <w:rPr>
          <w:rFonts w:ascii="Arial" w:hAnsi="Arial" w:cs="Arial"/>
          <w:b/>
          <w:bCs/>
          <w:color w:val="000000"/>
          <w:sz w:val="20"/>
          <w:szCs w:val="20"/>
        </w:rPr>
      </w:pPr>
    </w:p>
    <w:p w14:paraId="029D65BC" w14:textId="77777777" w:rsidR="00916FF3" w:rsidRDefault="00916FF3" w:rsidP="00916FF3">
      <w:pPr>
        <w:pStyle w:val="NormalWeb"/>
        <w:rPr>
          <w:rFonts w:ascii="Arial" w:hAnsi="Arial" w:cs="Arial"/>
          <w:b/>
          <w:bCs/>
          <w:color w:val="000000"/>
          <w:sz w:val="20"/>
          <w:szCs w:val="20"/>
        </w:rPr>
      </w:pPr>
    </w:p>
    <w:bookmarkEnd w:id="18"/>
    <w:p w14:paraId="6B547DE3" w14:textId="77777777" w:rsidR="00916FF3" w:rsidRDefault="00916FF3" w:rsidP="00916FF3">
      <w:pPr>
        <w:pStyle w:val="NormalWeb"/>
        <w:rPr>
          <w:rFonts w:ascii="Arial" w:hAnsi="Arial" w:cs="Arial"/>
          <w:b/>
          <w:bCs/>
          <w:color w:val="000000"/>
          <w:sz w:val="20"/>
          <w:szCs w:val="20"/>
        </w:rPr>
      </w:pPr>
    </w:p>
    <w:p w14:paraId="68B62591" w14:textId="77777777" w:rsidR="00916FF3" w:rsidRDefault="00916FF3" w:rsidP="00916FF3">
      <w:pPr>
        <w:pStyle w:val="NormalWeb"/>
        <w:rPr>
          <w:rFonts w:ascii="Arial" w:hAnsi="Arial" w:cs="Arial"/>
          <w:bCs/>
          <w:color w:val="000000"/>
          <w:sz w:val="20"/>
          <w:szCs w:val="20"/>
        </w:rPr>
      </w:pPr>
    </w:p>
    <w:p w14:paraId="1B45EEA3" w14:textId="77777777" w:rsidR="00916FF3" w:rsidRDefault="00916FF3" w:rsidP="00916FF3">
      <w:pPr>
        <w:pStyle w:val="NormalWeb"/>
        <w:rPr>
          <w:rFonts w:ascii="Arial" w:hAnsi="Arial" w:cs="Arial"/>
          <w:b/>
          <w:bCs/>
          <w:color w:val="000000"/>
          <w:sz w:val="20"/>
          <w:szCs w:val="20"/>
        </w:rPr>
      </w:pPr>
      <w:bookmarkStart w:id="19" w:name="_Hlk141826365"/>
      <w:r>
        <w:rPr>
          <w:rFonts w:ascii="Arial" w:hAnsi="Arial" w:cs="Arial"/>
          <w:b/>
          <w:bCs/>
          <w:color w:val="000000"/>
          <w:sz w:val="20"/>
          <w:szCs w:val="20"/>
        </w:rPr>
        <w:lastRenderedPageBreak/>
        <w:t>Master Circular- Prudential Norms on Capital Adequacy - Primary (Urban) Co-operative Banks (UCBs)</w:t>
      </w:r>
    </w:p>
    <w:p w14:paraId="64E0919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RBI/2023-24/17</w:t>
      </w:r>
      <w:r>
        <w:rPr>
          <w:rFonts w:ascii="Arial" w:hAnsi="Arial" w:cs="Arial"/>
          <w:color w:val="000000"/>
          <w:sz w:val="20"/>
          <w:szCs w:val="20"/>
        </w:rPr>
        <w:br/>
        <w:t>DOR.CAP.REC.11/09.18.201/2023-24</w:t>
      </w:r>
    </w:p>
    <w:p w14:paraId="163E5EC5"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20, 2023</w:t>
      </w:r>
    </w:p>
    <w:p w14:paraId="71C66A47"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63E8274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Dear Sir / Madam,</w:t>
      </w:r>
    </w:p>
    <w:p w14:paraId="5C37571C"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Circular - Prudential Norms on Capital Adequacy - Primary (Urban) Co-operative Banks (UCBs)</w:t>
      </w:r>
    </w:p>
    <w:p w14:paraId="5215AD3B"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37" w:tgtFrame="_blank" w:history="1">
        <w:r>
          <w:rPr>
            <w:rStyle w:val="Hyperlink"/>
            <w:rFonts w:ascii="Arial" w:hAnsi="Arial" w:cs="Arial"/>
            <w:sz w:val="20"/>
            <w:szCs w:val="20"/>
          </w:rPr>
          <w:t>Master Circular DOR.CAP.REC.2/09.18.201/2022-23 dated April 1, 2022</w:t>
        </w:r>
      </w:hyperlink>
      <w:r>
        <w:rPr>
          <w:rFonts w:ascii="Arial" w:hAnsi="Arial" w:cs="Arial"/>
          <w:color w:val="000000"/>
          <w:sz w:val="20"/>
          <w:szCs w:val="20"/>
        </w:rPr>
        <w:t> on the captioned subject.</w:t>
      </w:r>
    </w:p>
    <w:p w14:paraId="24A3850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The enclosed </w:t>
      </w:r>
      <w:hyperlink r:id="rId38"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April 19, 2023 as listed in the </w:t>
      </w:r>
      <w:hyperlink r:id="rId39" w:anchor="APP" w:history="1">
        <w:r>
          <w:rPr>
            <w:rStyle w:val="Hyperlink"/>
            <w:rFonts w:ascii="Arial" w:hAnsi="Arial" w:cs="Arial"/>
            <w:sz w:val="20"/>
            <w:szCs w:val="20"/>
          </w:rPr>
          <w:t>Appendix</w:t>
        </w:r>
      </w:hyperlink>
      <w:r>
        <w:rPr>
          <w:rFonts w:ascii="Arial" w:hAnsi="Arial" w:cs="Arial"/>
          <w:color w:val="000000"/>
          <w:sz w:val="20"/>
          <w:szCs w:val="20"/>
        </w:rPr>
        <w:t>.</w:t>
      </w:r>
    </w:p>
    <w:p w14:paraId="30333A2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384AD77D"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2A39B0C6" w14:textId="77777777" w:rsidR="00916FF3" w:rsidRDefault="00916FF3" w:rsidP="00916FF3">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23F7805" w14:textId="77777777" w:rsidR="00916FF3" w:rsidRDefault="00916FF3" w:rsidP="00916FF3">
      <w:pPr>
        <w:pStyle w:val="NormalWeb"/>
        <w:rPr>
          <w:rFonts w:ascii="Arial" w:hAnsi="Arial" w:cs="Arial"/>
          <w:bCs/>
          <w:color w:val="000000"/>
          <w:sz w:val="20"/>
          <w:szCs w:val="20"/>
        </w:rPr>
      </w:pPr>
    </w:p>
    <w:p w14:paraId="57EC145B" w14:textId="77777777" w:rsidR="00916FF3" w:rsidRDefault="00916FF3" w:rsidP="00916FF3">
      <w:pPr>
        <w:pStyle w:val="NormalWeb"/>
        <w:rPr>
          <w:rFonts w:ascii="Arial" w:hAnsi="Arial" w:cs="Arial"/>
          <w:bCs/>
          <w:color w:val="000000"/>
          <w:sz w:val="20"/>
          <w:szCs w:val="20"/>
        </w:rPr>
      </w:pPr>
    </w:p>
    <w:p w14:paraId="16D5DE46" w14:textId="77777777" w:rsidR="00916FF3" w:rsidRDefault="00916FF3" w:rsidP="00916FF3">
      <w:pPr>
        <w:spacing w:after="0"/>
      </w:pPr>
      <w:r>
        <w:t>More details can be referred to in the below link.</w:t>
      </w:r>
    </w:p>
    <w:p w14:paraId="25BCED89"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5F425E">
          <w:rPr>
            <w:rStyle w:val="Hyperlink"/>
            <w:rFonts w:ascii="Arial" w:hAnsi="Arial" w:cs="Arial"/>
            <w:bCs/>
            <w:sz w:val="20"/>
            <w:szCs w:val="20"/>
          </w:rPr>
          <w:t>https://rbi.org.in/Scripts/NotificationUser.aspx?Id=12490&amp;Mode=0</w:t>
        </w:r>
      </w:hyperlink>
    </w:p>
    <w:p w14:paraId="5BF16CE5" w14:textId="77777777" w:rsidR="00916FF3" w:rsidRDefault="00916FF3" w:rsidP="00916FF3">
      <w:pPr>
        <w:pStyle w:val="NormalWeb"/>
        <w:rPr>
          <w:rFonts w:ascii="Arial" w:hAnsi="Arial" w:cs="Arial"/>
          <w:bCs/>
          <w:color w:val="000000"/>
          <w:sz w:val="20"/>
          <w:szCs w:val="20"/>
        </w:rPr>
      </w:pPr>
    </w:p>
    <w:p w14:paraId="57EB7C02" w14:textId="77777777" w:rsidR="00916FF3" w:rsidRDefault="00916FF3" w:rsidP="00916FF3">
      <w:pPr>
        <w:pStyle w:val="NormalWeb"/>
        <w:rPr>
          <w:rFonts w:ascii="Arial" w:hAnsi="Arial" w:cs="Arial"/>
          <w:bCs/>
          <w:color w:val="000000"/>
          <w:sz w:val="20"/>
          <w:szCs w:val="20"/>
        </w:rPr>
      </w:pPr>
    </w:p>
    <w:p w14:paraId="00014B5F" w14:textId="77777777" w:rsidR="00916FF3" w:rsidRDefault="00916FF3" w:rsidP="00916FF3">
      <w:pPr>
        <w:pStyle w:val="NormalWeb"/>
        <w:rPr>
          <w:rFonts w:ascii="Arial" w:hAnsi="Arial" w:cs="Arial"/>
          <w:bCs/>
          <w:color w:val="000000"/>
          <w:sz w:val="20"/>
          <w:szCs w:val="20"/>
        </w:rPr>
      </w:pPr>
    </w:p>
    <w:p w14:paraId="4CB52B8A" w14:textId="77777777" w:rsidR="00916FF3" w:rsidRDefault="00916FF3" w:rsidP="00916FF3">
      <w:pPr>
        <w:pStyle w:val="NormalWeb"/>
        <w:rPr>
          <w:rFonts w:ascii="Arial" w:hAnsi="Arial" w:cs="Arial"/>
          <w:color w:val="000000"/>
          <w:sz w:val="20"/>
          <w:szCs w:val="20"/>
        </w:rPr>
      </w:pPr>
    </w:p>
    <w:p w14:paraId="5D543788" w14:textId="77777777" w:rsidR="00916FF3" w:rsidRDefault="00916FF3" w:rsidP="00916FF3">
      <w:pPr>
        <w:pStyle w:val="NormalWeb"/>
        <w:rPr>
          <w:rFonts w:ascii="Arial" w:hAnsi="Arial" w:cs="Arial"/>
          <w:color w:val="000000"/>
          <w:sz w:val="20"/>
          <w:szCs w:val="20"/>
        </w:rPr>
      </w:pPr>
    </w:p>
    <w:p w14:paraId="02E3416A" w14:textId="77777777" w:rsidR="00916FF3" w:rsidRDefault="00916FF3" w:rsidP="00916FF3">
      <w:pPr>
        <w:pStyle w:val="NormalWeb"/>
        <w:rPr>
          <w:rFonts w:ascii="Arial" w:hAnsi="Arial" w:cs="Arial"/>
          <w:color w:val="000000"/>
          <w:sz w:val="20"/>
          <w:szCs w:val="20"/>
        </w:rPr>
      </w:pPr>
    </w:p>
    <w:p w14:paraId="63512D4A" w14:textId="77777777" w:rsidR="00916FF3" w:rsidRDefault="00916FF3" w:rsidP="00916FF3">
      <w:pPr>
        <w:pStyle w:val="NormalWeb"/>
        <w:rPr>
          <w:rFonts w:ascii="Arial" w:hAnsi="Arial" w:cs="Arial"/>
          <w:color w:val="000000"/>
          <w:sz w:val="20"/>
          <w:szCs w:val="20"/>
        </w:rPr>
      </w:pPr>
    </w:p>
    <w:p w14:paraId="3C43490D" w14:textId="77777777" w:rsidR="00916FF3" w:rsidRDefault="00916FF3" w:rsidP="00916FF3">
      <w:pPr>
        <w:pStyle w:val="NormalWeb"/>
        <w:rPr>
          <w:rFonts w:ascii="Arial" w:hAnsi="Arial" w:cs="Arial"/>
          <w:color w:val="000000"/>
          <w:sz w:val="20"/>
          <w:szCs w:val="20"/>
        </w:rPr>
      </w:pPr>
    </w:p>
    <w:bookmarkEnd w:id="19"/>
    <w:p w14:paraId="5E8640F7" w14:textId="77777777" w:rsidR="00916FF3" w:rsidRDefault="00916FF3" w:rsidP="00916FF3">
      <w:pPr>
        <w:pStyle w:val="NormalWeb"/>
        <w:rPr>
          <w:rFonts w:ascii="Arial" w:hAnsi="Arial" w:cs="Arial"/>
          <w:bCs/>
          <w:color w:val="000000"/>
          <w:sz w:val="20"/>
          <w:szCs w:val="20"/>
        </w:rPr>
      </w:pPr>
    </w:p>
    <w:p w14:paraId="1516C369" w14:textId="77777777" w:rsidR="00916FF3" w:rsidRDefault="00916FF3" w:rsidP="00916FF3">
      <w:pPr>
        <w:pStyle w:val="NormalWeb"/>
        <w:rPr>
          <w:rFonts w:ascii="Arial" w:hAnsi="Arial" w:cs="Arial"/>
          <w:bCs/>
          <w:color w:val="000000"/>
          <w:sz w:val="20"/>
          <w:szCs w:val="20"/>
        </w:rPr>
      </w:pPr>
    </w:p>
    <w:p w14:paraId="194CBD10" w14:textId="77777777" w:rsidR="00916FF3" w:rsidRDefault="00916FF3" w:rsidP="00916FF3">
      <w:pPr>
        <w:pStyle w:val="NormalWeb"/>
        <w:rPr>
          <w:rFonts w:ascii="Arial" w:hAnsi="Arial" w:cs="Arial"/>
          <w:b/>
          <w:bCs/>
          <w:color w:val="000000"/>
          <w:sz w:val="20"/>
          <w:szCs w:val="20"/>
        </w:rPr>
      </w:pPr>
      <w:bookmarkStart w:id="20" w:name="_Hlk141829312"/>
      <w:r>
        <w:rPr>
          <w:rFonts w:ascii="Arial" w:hAnsi="Arial" w:cs="Arial"/>
          <w:b/>
          <w:bCs/>
          <w:color w:val="000000"/>
          <w:sz w:val="20"/>
          <w:szCs w:val="20"/>
        </w:rPr>
        <w:lastRenderedPageBreak/>
        <w:t>Provisioning for standard assets by primary (Urban) co-operative banks – revised norms under four-tiered regulatory framework</w:t>
      </w:r>
    </w:p>
    <w:p w14:paraId="2FFDD5EC" w14:textId="77777777" w:rsidR="00916FF3" w:rsidRDefault="00916FF3" w:rsidP="00916FF3">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RBI/2023-24/18</w:t>
      </w:r>
      <w:r>
        <w:rPr>
          <w:rFonts w:ascii="Arial" w:hAnsi="Arial" w:cs="Arial"/>
          <w:color w:val="000000"/>
          <w:sz w:val="20"/>
          <w:szCs w:val="20"/>
        </w:rPr>
        <w:br/>
        <w:t>DOR.STR.REC.12/21.04.048/2023-24</w:t>
      </w:r>
    </w:p>
    <w:p w14:paraId="380480AC" w14:textId="77777777" w:rsidR="00916FF3" w:rsidRDefault="00916FF3" w:rsidP="00916FF3">
      <w:pPr>
        <w:pStyle w:val="NormalWeb"/>
        <w:spacing w:before="0" w:beforeAutospacing="0"/>
        <w:jc w:val="right"/>
        <w:rPr>
          <w:rFonts w:ascii="Arial" w:hAnsi="Arial" w:cs="Arial"/>
          <w:color w:val="000000"/>
          <w:sz w:val="20"/>
          <w:szCs w:val="20"/>
        </w:rPr>
      </w:pPr>
      <w:r>
        <w:rPr>
          <w:rFonts w:ascii="Arial" w:hAnsi="Arial" w:cs="Arial"/>
          <w:color w:val="000000"/>
          <w:sz w:val="20"/>
          <w:szCs w:val="20"/>
        </w:rPr>
        <w:t>April 24, 2023</w:t>
      </w:r>
    </w:p>
    <w:p w14:paraId="1FC91A55" w14:textId="77777777" w:rsidR="00916FF3" w:rsidRDefault="00916FF3" w:rsidP="00916FF3">
      <w:pPr>
        <w:pStyle w:val="NormalWeb"/>
        <w:spacing w:after="0" w:afterAutospacing="0"/>
        <w:jc w:val="both"/>
        <w:rPr>
          <w:rFonts w:ascii="Arial" w:hAnsi="Arial" w:cs="Arial"/>
          <w:color w:val="000000"/>
          <w:sz w:val="20"/>
          <w:szCs w:val="20"/>
        </w:rPr>
      </w:pPr>
      <w:r>
        <w:rPr>
          <w:rFonts w:ascii="Arial" w:hAnsi="Arial" w:cs="Arial"/>
          <w:color w:val="000000"/>
          <w:sz w:val="20"/>
          <w:szCs w:val="20"/>
        </w:rPr>
        <w:t>All Primary (Urban) Co-operative Banks,</w:t>
      </w:r>
    </w:p>
    <w:p w14:paraId="0103EC2D"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 / Dear Sir,</w:t>
      </w:r>
    </w:p>
    <w:p w14:paraId="0E881DCB"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14:paraId="16EBA501"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w:t>
      </w:r>
      <w:hyperlink r:id="rId41" w:tgtFrame="_blank" w:history="1">
        <w:r>
          <w:rPr>
            <w:rStyle w:val="Hyperlink"/>
            <w:rFonts w:ascii="Arial" w:hAnsi="Arial" w:cs="Arial"/>
            <w:sz w:val="20"/>
            <w:szCs w:val="20"/>
          </w:rPr>
          <w:t>circular DOR.REG.No.84/07.01.000/2022-23 dated December 01, 2022</w:t>
        </w:r>
      </w:hyperlink>
      <w:r>
        <w:rPr>
          <w:rFonts w:ascii="Arial" w:hAnsi="Arial" w:cs="Arial"/>
          <w:color w:val="000000"/>
          <w:sz w:val="20"/>
          <w:szCs w:val="20"/>
        </w:rPr>
        <w:t>, in terms of which Urban Co-operative Banks (UCBs) have been categorized into four Tiers namely Tier 1, Tier 2, Tier 3 and Tier 4 for regulatory purposes.</w:t>
      </w:r>
    </w:p>
    <w:p w14:paraId="6925D570"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The current standard assets provisioning norms for UCBs, consolidated in the </w:t>
      </w:r>
      <w:hyperlink r:id="rId42" w:tgtFrame="_blank" w:history="1">
        <w:r>
          <w:rPr>
            <w:rStyle w:val="Hyperlink"/>
            <w:rFonts w:ascii="Arial" w:hAnsi="Arial" w:cs="Arial"/>
            <w:sz w:val="20"/>
            <w:szCs w:val="20"/>
          </w:rPr>
          <w:t>Master Circular DOR.STR.REC.5/21.04.048/2022-23 dated April 01, 2022</w:t>
        </w:r>
      </w:hyperlink>
      <w:r>
        <w:rPr>
          <w:rFonts w:ascii="Arial" w:hAnsi="Arial" w:cs="Arial"/>
          <w:color w:val="000000"/>
          <w:sz w:val="20"/>
          <w:szCs w:val="20"/>
        </w:rPr>
        <w:t>, are based on the earlier categorization of UCBs into Tier I and Tier II as defined in para 4 of </w:t>
      </w:r>
      <w:hyperlink r:id="rId43" w:tgtFrame="_blank" w:history="1">
        <w:r>
          <w:rPr>
            <w:rStyle w:val="Hyperlink"/>
            <w:rFonts w:ascii="Arial" w:hAnsi="Arial" w:cs="Arial"/>
            <w:sz w:val="20"/>
            <w:szCs w:val="20"/>
          </w:rPr>
          <w:t>circular UBD.CO.LS.Cir.No.66/07.01.000/2008-09 dated May 06, 2009</w:t>
        </w:r>
      </w:hyperlink>
      <w:r>
        <w:rPr>
          <w:rFonts w:ascii="Arial" w:hAnsi="Arial" w:cs="Arial"/>
          <w:color w:val="000000"/>
          <w:sz w:val="20"/>
          <w:szCs w:val="20"/>
        </w:rPr>
        <w:t>, as given below:</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528"/>
        <w:gridCol w:w="993"/>
        <w:gridCol w:w="1134"/>
      </w:tblGrid>
      <w:tr w:rsidR="00916FF3" w14:paraId="0DF4FEBD" w14:textId="77777777" w:rsidTr="00781F9A">
        <w:tc>
          <w:tcPr>
            <w:tcW w:w="497" w:type="pct"/>
            <w:vMerge w:val="restart"/>
            <w:tcMar>
              <w:top w:w="0" w:type="dxa"/>
              <w:left w:w="45" w:type="dxa"/>
              <w:bottom w:w="0" w:type="dxa"/>
              <w:right w:w="45" w:type="dxa"/>
            </w:tcMar>
            <w:vAlign w:val="center"/>
            <w:hideMark/>
          </w:tcPr>
          <w:p w14:paraId="6B7A297A" w14:textId="77777777" w:rsidR="00916FF3" w:rsidRDefault="00916FF3" w:rsidP="00781F9A">
            <w:pPr>
              <w:jc w:val="center"/>
              <w:rPr>
                <w:rFonts w:ascii="Arial" w:hAnsi="Arial" w:cs="Arial"/>
                <w:color w:val="000000"/>
                <w:sz w:val="20"/>
                <w:szCs w:val="20"/>
              </w:rPr>
            </w:pPr>
            <w:r>
              <w:rPr>
                <w:rStyle w:val="head1"/>
                <w:rFonts w:ascii="Arial" w:hAnsi="Arial" w:cs="Arial"/>
                <w:b/>
                <w:bCs/>
                <w:color w:val="000000"/>
                <w:sz w:val="20"/>
                <w:szCs w:val="20"/>
              </w:rPr>
              <w:t>Sl. No.</w:t>
            </w:r>
          </w:p>
        </w:tc>
        <w:tc>
          <w:tcPr>
            <w:tcW w:w="3252" w:type="pct"/>
            <w:vMerge w:val="restart"/>
            <w:tcMar>
              <w:top w:w="0" w:type="dxa"/>
              <w:left w:w="45" w:type="dxa"/>
              <w:bottom w:w="0" w:type="dxa"/>
              <w:right w:w="45" w:type="dxa"/>
            </w:tcMar>
            <w:vAlign w:val="center"/>
            <w:hideMark/>
          </w:tcPr>
          <w:p w14:paraId="4896122C" w14:textId="77777777" w:rsidR="00916FF3" w:rsidRDefault="00916FF3" w:rsidP="00781F9A">
            <w:pPr>
              <w:spacing w:after="0"/>
              <w:jc w:val="center"/>
              <w:rPr>
                <w:rFonts w:ascii="Arial" w:hAnsi="Arial" w:cs="Arial"/>
                <w:color w:val="000000"/>
                <w:sz w:val="20"/>
                <w:szCs w:val="20"/>
              </w:rPr>
            </w:pPr>
            <w:r>
              <w:rPr>
                <w:rStyle w:val="head1"/>
                <w:rFonts w:ascii="Arial" w:hAnsi="Arial" w:cs="Arial"/>
                <w:b/>
                <w:bCs/>
                <w:color w:val="000000"/>
                <w:sz w:val="20"/>
                <w:szCs w:val="20"/>
              </w:rPr>
              <w:t>Category of Standard Asset</w:t>
            </w:r>
          </w:p>
        </w:tc>
        <w:tc>
          <w:tcPr>
            <w:tcW w:w="1251" w:type="pct"/>
            <w:gridSpan w:val="2"/>
            <w:tcMar>
              <w:top w:w="0" w:type="dxa"/>
              <w:left w:w="45" w:type="dxa"/>
              <w:bottom w:w="0" w:type="dxa"/>
              <w:right w:w="45" w:type="dxa"/>
            </w:tcMar>
            <w:vAlign w:val="center"/>
            <w:hideMark/>
          </w:tcPr>
          <w:p w14:paraId="40440EB5" w14:textId="77777777" w:rsidR="00916FF3" w:rsidRDefault="00916FF3" w:rsidP="00781F9A">
            <w:pPr>
              <w:jc w:val="center"/>
              <w:rPr>
                <w:rFonts w:ascii="Arial" w:hAnsi="Arial" w:cs="Arial"/>
                <w:color w:val="000000"/>
                <w:sz w:val="20"/>
                <w:szCs w:val="20"/>
              </w:rPr>
            </w:pPr>
            <w:r>
              <w:rPr>
                <w:rStyle w:val="head1"/>
                <w:rFonts w:ascii="Arial" w:hAnsi="Arial" w:cs="Arial"/>
                <w:b/>
                <w:bCs/>
                <w:color w:val="000000"/>
                <w:sz w:val="20"/>
                <w:szCs w:val="20"/>
              </w:rPr>
              <w:t>Rate of Provisioning</w:t>
            </w:r>
          </w:p>
        </w:tc>
      </w:tr>
      <w:tr w:rsidR="00916FF3" w14:paraId="501E36C6" w14:textId="77777777" w:rsidTr="00781F9A">
        <w:trPr>
          <w:trHeight w:val="162"/>
        </w:trPr>
        <w:tc>
          <w:tcPr>
            <w:tcW w:w="497" w:type="pct"/>
            <w:vMerge/>
            <w:vAlign w:val="center"/>
            <w:hideMark/>
          </w:tcPr>
          <w:p w14:paraId="0ADD48FE" w14:textId="77777777" w:rsidR="00916FF3" w:rsidRDefault="00916FF3" w:rsidP="00781F9A">
            <w:pPr>
              <w:jc w:val="both"/>
              <w:rPr>
                <w:rFonts w:ascii="Arial" w:hAnsi="Arial" w:cs="Arial"/>
                <w:color w:val="000000"/>
                <w:sz w:val="20"/>
                <w:szCs w:val="20"/>
              </w:rPr>
            </w:pPr>
          </w:p>
        </w:tc>
        <w:tc>
          <w:tcPr>
            <w:tcW w:w="3252" w:type="pct"/>
            <w:vMerge/>
            <w:vAlign w:val="center"/>
            <w:hideMark/>
          </w:tcPr>
          <w:p w14:paraId="6645F1D1" w14:textId="77777777" w:rsidR="00916FF3" w:rsidRDefault="00916FF3" w:rsidP="00781F9A">
            <w:pPr>
              <w:jc w:val="both"/>
              <w:rPr>
                <w:rFonts w:ascii="Arial" w:hAnsi="Arial" w:cs="Arial"/>
                <w:color w:val="000000"/>
                <w:sz w:val="20"/>
                <w:szCs w:val="20"/>
              </w:rPr>
            </w:pPr>
          </w:p>
        </w:tc>
        <w:tc>
          <w:tcPr>
            <w:tcW w:w="584" w:type="pct"/>
            <w:tcMar>
              <w:top w:w="0" w:type="dxa"/>
              <w:left w:w="45" w:type="dxa"/>
              <w:bottom w:w="0" w:type="dxa"/>
              <w:right w:w="45" w:type="dxa"/>
            </w:tcMar>
            <w:vAlign w:val="center"/>
            <w:hideMark/>
          </w:tcPr>
          <w:p w14:paraId="245ACBF3" w14:textId="77777777" w:rsidR="00916FF3" w:rsidRDefault="00916FF3" w:rsidP="00781F9A">
            <w:pPr>
              <w:jc w:val="center"/>
              <w:rPr>
                <w:rFonts w:ascii="Arial" w:hAnsi="Arial" w:cs="Arial"/>
                <w:color w:val="000000"/>
                <w:sz w:val="20"/>
                <w:szCs w:val="20"/>
              </w:rPr>
            </w:pPr>
            <w:r>
              <w:rPr>
                <w:rStyle w:val="head1"/>
                <w:rFonts w:ascii="Arial" w:hAnsi="Arial" w:cs="Arial"/>
                <w:b/>
                <w:bCs/>
                <w:color w:val="000000"/>
                <w:sz w:val="20"/>
                <w:szCs w:val="20"/>
              </w:rPr>
              <w:t>Tier II</w:t>
            </w:r>
          </w:p>
        </w:tc>
        <w:tc>
          <w:tcPr>
            <w:tcW w:w="667" w:type="pct"/>
            <w:tcMar>
              <w:top w:w="0" w:type="dxa"/>
              <w:left w:w="45" w:type="dxa"/>
              <w:bottom w:w="0" w:type="dxa"/>
              <w:right w:w="45" w:type="dxa"/>
            </w:tcMar>
            <w:vAlign w:val="center"/>
            <w:hideMark/>
          </w:tcPr>
          <w:p w14:paraId="4A4EE7C4" w14:textId="77777777" w:rsidR="00916FF3" w:rsidRDefault="00916FF3" w:rsidP="00781F9A">
            <w:pPr>
              <w:jc w:val="center"/>
              <w:rPr>
                <w:rFonts w:ascii="Arial" w:hAnsi="Arial" w:cs="Arial"/>
                <w:color w:val="000000"/>
                <w:sz w:val="20"/>
                <w:szCs w:val="20"/>
              </w:rPr>
            </w:pPr>
            <w:r>
              <w:rPr>
                <w:rStyle w:val="head1"/>
                <w:rFonts w:ascii="Arial" w:hAnsi="Arial" w:cs="Arial"/>
                <w:b/>
                <w:bCs/>
                <w:color w:val="000000"/>
                <w:sz w:val="20"/>
                <w:szCs w:val="20"/>
              </w:rPr>
              <w:t>Tier I</w:t>
            </w:r>
          </w:p>
        </w:tc>
      </w:tr>
      <w:tr w:rsidR="00916FF3" w14:paraId="2A12BDCD" w14:textId="77777777" w:rsidTr="00781F9A">
        <w:tc>
          <w:tcPr>
            <w:tcW w:w="497" w:type="pct"/>
            <w:tcMar>
              <w:top w:w="0" w:type="dxa"/>
              <w:left w:w="45" w:type="dxa"/>
              <w:bottom w:w="0" w:type="dxa"/>
              <w:right w:w="45" w:type="dxa"/>
            </w:tcMar>
            <w:vAlign w:val="center"/>
            <w:hideMark/>
          </w:tcPr>
          <w:p w14:paraId="32282B56"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(a)</w:t>
            </w:r>
          </w:p>
        </w:tc>
        <w:tc>
          <w:tcPr>
            <w:tcW w:w="3252" w:type="pct"/>
            <w:tcMar>
              <w:top w:w="0" w:type="dxa"/>
              <w:left w:w="45" w:type="dxa"/>
              <w:bottom w:w="0" w:type="dxa"/>
              <w:right w:w="45" w:type="dxa"/>
            </w:tcMar>
            <w:vAlign w:val="center"/>
            <w:hideMark/>
          </w:tcPr>
          <w:p w14:paraId="4A13612D" w14:textId="77777777" w:rsidR="00916FF3" w:rsidRDefault="00916FF3" w:rsidP="00781F9A">
            <w:pPr>
              <w:jc w:val="both"/>
              <w:rPr>
                <w:rFonts w:ascii="Arial" w:hAnsi="Arial" w:cs="Arial"/>
                <w:color w:val="000000"/>
                <w:sz w:val="20"/>
                <w:szCs w:val="20"/>
              </w:rPr>
            </w:pPr>
            <w:r>
              <w:rPr>
                <w:rFonts w:ascii="Arial" w:hAnsi="Arial" w:cs="Arial"/>
                <w:color w:val="000000"/>
                <w:sz w:val="20"/>
                <w:szCs w:val="20"/>
              </w:rPr>
              <w:t>Direct advances to Agriculture and SME sectors</w:t>
            </w:r>
          </w:p>
        </w:tc>
        <w:tc>
          <w:tcPr>
            <w:tcW w:w="584" w:type="pct"/>
            <w:tcMar>
              <w:top w:w="0" w:type="dxa"/>
              <w:left w:w="45" w:type="dxa"/>
              <w:bottom w:w="0" w:type="dxa"/>
              <w:right w:w="45" w:type="dxa"/>
            </w:tcMar>
            <w:vAlign w:val="center"/>
            <w:hideMark/>
          </w:tcPr>
          <w:p w14:paraId="6483DA81"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0.25%</w:t>
            </w:r>
          </w:p>
        </w:tc>
        <w:tc>
          <w:tcPr>
            <w:tcW w:w="667" w:type="pct"/>
            <w:tcMar>
              <w:top w:w="0" w:type="dxa"/>
              <w:left w:w="45" w:type="dxa"/>
              <w:bottom w:w="0" w:type="dxa"/>
              <w:right w:w="45" w:type="dxa"/>
            </w:tcMar>
            <w:vAlign w:val="center"/>
            <w:hideMark/>
          </w:tcPr>
          <w:p w14:paraId="31627AEE"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0.25%</w:t>
            </w:r>
          </w:p>
        </w:tc>
      </w:tr>
      <w:tr w:rsidR="00916FF3" w14:paraId="60E36FE2" w14:textId="77777777" w:rsidTr="00781F9A">
        <w:tc>
          <w:tcPr>
            <w:tcW w:w="497" w:type="pct"/>
            <w:tcMar>
              <w:top w:w="0" w:type="dxa"/>
              <w:left w:w="45" w:type="dxa"/>
              <w:bottom w:w="0" w:type="dxa"/>
              <w:right w:w="45" w:type="dxa"/>
            </w:tcMar>
            <w:vAlign w:val="center"/>
            <w:hideMark/>
          </w:tcPr>
          <w:p w14:paraId="2C0823F0"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(b)</w:t>
            </w:r>
          </w:p>
        </w:tc>
        <w:tc>
          <w:tcPr>
            <w:tcW w:w="3252" w:type="pct"/>
            <w:tcMar>
              <w:top w:w="0" w:type="dxa"/>
              <w:left w:w="45" w:type="dxa"/>
              <w:bottom w:w="0" w:type="dxa"/>
              <w:right w:w="45" w:type="dxa"/>
            </w:tcMar>
            <w:vAlign w:val="center"/>
            <w:hideMark/>
          </w:tcPr>
          <w:p w14:paraId="4F576615" w14:textId="77777777" w:rsidR="00916FF3" w:rsidRDefault="00916FF3" w:rsidP="00781F9A">
            <w:pPr>
              <w:jc w:val="both"/>
              <w:rPr>
                <w:rFonts w:ascii="Arial" w:hAnsi="Arial" w:cs="Arial"/>
                <w:color w:val="000000"/>
                <w:sz w:val="20"/>
                <w:szCs w:val="20"/>
              </w:rPr>
            </w:pPr>
            <w:r>
              <w:rPr>
                <w:rFonts w:ascii="Arial" w:hAnsi="Arial" w:cs="Arial"/>
                <w:color w:val="000000"/>
                <w:sz w:val="20"/>
                <w:szCs w:val="20"/>
              </w:rPr>
              <w:t>Commercial Real Estate (CRE) sector</w:t>
            </w:r>
          </w:p>
        </w:tc>
        <w:tc>
          <w:tcPr>
            <w:tcW w:w="584" w:type="pct"/>
            <w:tcMar>
              <w:top w:w="0" w:type="dxa"/>
              <w:left w:w="45" w:type="dxa"/>
              <w:bottom w:w="0" w:type="dxa"/>
              <w:right w:w="45" w:type="dxa"/>
            </w:tcMar>
            <w:vAlign w:val="center"/>
            <w:hideMark/>
          </w:tcPr>
          <w:p w14:paraId="66F420CC"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1.00%</w:t>
            </w:r>
          </w:p>
        </w:tc>
        <w:tc>
          <w:tcPr>
            <w:tcW w:w="667" w:type="pct"/>
            <w:tcMar>
              <w:top w:w="0" w:type="dxa"/>
              <w:left w:w="45" w:type="dxa"/>
              <w:bottom w:w="0" w:type="dxa"/>
              <w:right w:w="45" w:type="dxa"/>
            </w:tcMar>
            <w:vAlign w:val="center"/>
            <w:hideMark/>
          </w:tcPr>
          <w:p w14:paraId="3E9B24E6"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1.00%</w:t>
            </w:r>
          </w:p>
        </w:tc>
      </w:tr>
      <w:tr w:rsidR="00916FF3" w14:paraId="35E9967C" w14:textId="77777777" w:rsidTr="00781F9A">
        <w:trPr>
          <w:trHeight w:val="374"/>
        </w:trPr>
        <w:tc>
          <w:tcPr>
            <w:tcW w:w="497" w:type="pct"/>
            <w:tcMar>
              <w:top w:w="0" w:type="dxa"/>
              <w:left w:w="45" w:type="dxa"/>
              <w:bottom w:w="0" w:type="dxa"/>
              <w:right w:w="45" w:type="dxa"/>
            </w:tcMar>
            <w:vAlign w:val="center"/>
            <w:hideMark/>
          </w:tcPr>
          <w:p w14:paraId="10481343"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(c)</w:t>
            </w:r>
          </w:p>
        </w:tc>
        <w:tc>
          <w:tcPr>
            <w:tcW w:w="3252" w:type="pct"/>
            <w:tcMar>
              <w:top w:w="0" w:type="dxa"/>
              <w:left w:w="45" w:type="dxa"/>
              <w:bottom w:w="0" w:type="dxa"/>
              <w:right w:w="45" w:type="dxa"/>
            </w:tcMar>
            <w:vAlign w:val="center"/>
            <w:hideMark/>
          </w:tcPr>
          <w:p w14:paraId="3817A2DE" w14:textId="77777777" w:rsidR="00916FF3" w:rsidRDefault="00916FF3" w:rsidP="00781F9A">
            <w:pPr>
              <w:jc w:val="both"/>
              <w:rPr>
                <w:rFonts w:ascii="Arial" w:hAnsi="Arial" w:cs="Arial"/>
                <w:color w:val="000000"/>
                <w:sz w:val="20"/>
                <w:szCs w:val="20"/>
              </w:rPr>
            </w:pPr>
            <w:r>
              <w:rPr>
                <w:rFonts w:ascii="Arial" w:hAnsi="Arial" w:cs="Arial"/>
                <w:color w:val="000000"/>
                <w:sz w:val="20"/>
                <w:szCs w:val="20"/>
              </w:rPr>
              <w:t>Commercial Real Estate-Residential Housing Sector (CRE-RH)</w:t>
            </w:r>
          </w:p>
        </w:tc>
        <w:tc>
          <w:tcPr>
            <w:tcW w:w="584" w:type="pct"/>
            <w:tcMar>
              <w:top w:w="0" w:type="dxa"/>
              <w:left w:w="45" w:type="dxa"/>
              <w:bottom w:w="0" w:type="dxa"/>
              <w:right w:w="45" w:type="dxa"/>
            </w:tcMar>
            <w:vAlign w:val="center"/>
            <w:hideMark/>
          </w:tcPr>
          <w:p w14:paraId="7DCFFAF5"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0.75%</w:t>
            </w:r>
          </w:p>
        </w:tc>
        <w:tc>
          <w:tcPr>
            <w:tcW w:w="667" w:type="pct"/>
            <w:tcMar>
              <w:top w:w="0" w:type="dxa"/>
              <w:left w:w="45" w:type="dxa"/>
              <w:bottom w:w="0" w:type="dxa"/>
              <w:right w:w="45" w:type="dxa"/>
            </w:tcMar>
            <w:vAlign w:val="center"/>
            <w:hideMark/>
          </w:tcPr>
          <w:p w14:paraId="2EDB80D1"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0.75%</w:t>
            </w:r>
          </w:p>
        </w:tc>
      </w:tr>
      <w:tr w:rsidR="00916FF3" w14:paraId="1299B008" w14:textId="77777777" w:rsidTr="00781F9A">
        <w:tc>
          <w:tcPr>
            <w:tcW w:w="497" w:type="pct"/>
            <w:tcMar>
              <w:top w:w="0" w:type="dxa"/>
              <w:left w:w="45" w:type="dxa"/>
              <w:bottom w:w="0" w:type="dxa"/>
              <w:right w:w="45" w:type="dxa"/>
            </w:tcMar>
            <w:vAlign w:val="center"/>
            <w:hideMark/>
          </w:tcPr>
          <w:p w14:paraId="5D3EF49A"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(d)</w:t>
            </w:r>
          </w:p>
        </w:tc>
        <w:tc>
          <w:tcPr>
            <w:tcW w:w="3252" w:type="pct"/>
            <w:tcMar>
              <w:top w:w="0" w:type="dxa"/>
              <w:left w:w="45" w:type="dxa"/>
              <w:bottom w:w="0" w:type="dxa"/>
              <w:right w:w="45" w:type="dxa"/>
            </w:tcMar>
            <w:vAlign w:val="center"/>
            <w:hideMark/>
          </w:tcPr>
          <w:p w14:paraId="533AA4D1" w14:textId="77777777" w:rsidR="00916FF3" w:rsidRDefault="00916FF3" w:rsidP="00781F9A">
            <w:pPr>
              <w:jc w:val="both"/>
              <w:rPr>
                <w:rFonts w:ascii="Arial" w:hAnsi="Arial" w:cs="Arial"/>
                <w:color w:val="000000"/>
                <w:sz w:val="20"/>
                <w:szCs w:val="20"/>
              </w:rPr>
            </w:pPr>
            <w:r>
              <w:rPr>
                <w:rFonts w:ascii="Arial" w:hAnsi="Arial" w:cs="Arial"/>
                <w:color w:val="000000"/>
                <w:sz w:val="20"/>
                <w:szCs w:val="20"/>
              </w:rPr>
              <w:t>All other loans and advances not included above</w:t>
            </w:r>
          </w:p>
        </w:tc>
        <w:tc>
          <w:tcPr>
            <w:tcW w:w="584" w:type="pct"/>
            <w:tcMar>
              <w:top w:w="0" w:type="dxa"/>
              <w:left w:w="45" w:type="dxa"/>
              <w:bottom w:w="0" w:type="dxa"/>
              <w:right w:w="45" w:type="dxa"/>
            </w:tcMar>
            <w:vAlign w:val="center"/>
            <w:hideMark/>
          </w:tcPr>
          <w:p w14:paraId="0BD1BCD9"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0.40%</w:t>
            </w:r>
          </w:p>
        </w:tc>
        <w:tc>
          <w:tcPr>
            <w:tcW w:w="667" w:type="pct"/>
            <w:tcMar>
              <w:top w:w="0" w:type="dxa"/>
              <w:left w:w="45" w:type="dxa"/>
              <w:bottom w:w="0" w:type="dxa"/>
              <w:right w:w="45" w:type="dxa"/>
            </w:tcMar>
            <w:vAlign w:val="center"/>
            <w:hideMark/>
          </w:tcPr>
          <w:p w14:paraId="084678EC" w14:textId="77777777" w:rsidR="00916FF3" w:rsidRDefault="00916FF3" w:rsidP="00781F9A">
            <w:pPr>
              <w:jc w:val="center"/>
              <w:rPr>
                <w:rFonts w:ascii="Arial" w:hAnsi="Arial" w:cs="Arial"/>
                <w:color w:val="000000"/>
                <w:sz w:val="20"/>
                <w:szCs w:val="20"/>
              </w:rPr>
            </w:pPr>
            <w:r>
              <w:rPr>
                <w:rFonts w:ascii="Arial" w:hAnsi="Arial" w:cs="Arial"/>
                <w:color w:val="000000"/>
                <w:sz w:val="20"/>
                <w:szCs w:val="20"/>
              </w:rPr>
              <w:t>0.25%</w:t>
            </w:r>
          </w:p>
        </w:tc>
      </w:tr>
    </w:tbl>
    <w:p w14:paraId="2D02E286"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On a review, it has been decided to harmonise the provisioning norms for standard assets applicable to all categories of UCBs, irrespective of their Tier in the revised framework.</w:t>
      </w:r>
    </w:p>
    <w:p w14:paraId="62B8EA52" w14:textId="77777777" w:rsidR="00916FF3" w:rsidRDefault="00916FF3" w:rsidP="00916FF3">
      <w:pPr>
        <w:pStyle w:val="NormalWeb"/>
        <w:spacing w:after="0" w:afterAutospacing="0"/>
        <w:jc w:val="both"/>
        <w:rPr>
          <w:rFonts w:ascii="Arial" w:hAnsi="Arial" w:cs="Arial"/>
          <w:color w:val="000000"/>
          <w:sz w:val="20"/>
          <w:szCs w:val="20"/>
        </w:rPr>
      </w:pPr>
      <w:r>
        <w:rPr>
          <w:rFonts w:ascii="Arial" w:hAnsi="Arial" w:cs="Arial"/>
          <w:color w:val="000000"/>
          <w:sz w:val="20"/>
          <w:szCs w:val="20"/>
        </w:rPr>
        <w:t>4. Accordingly, the standard asset provisioning norms applicable to Tier I, Tier 2, Tier 3 and Tier 4 UCBs under the revised framework shall be as under:</w:t>
      </w:r>
    </w:p>
    <w:p w14:paraId="6B023C1B" w14:textId="77777777" w:rsidR="00916FF3" w:rsidRDefault="00916FF3" w:rsidP="00916FF3">
      <w:pPr>
        <w:pStyle w:val="NormalWeb"/>
        <w:numPr>
          <w:ilvl w:val="0"/>
          <w:numId w:val="1"/>
        </w:numPr>
        <w:spacing w:before="0" w:beforeAutospacing="0"/>
        <w:ind w:left="0"/>
        <w:jc w:val="both"/>
        <w:rPr>
          <w:rFonts w:ascii="Arial" w:hAnsi="Arial" w:cs="Arial"/>
          <w:color w:val="000000"/>
          <w:sz w:val="20"/>
          <w:szCs w:val="20"/>
        </w:rPr>
      </w:pPr>
      <w:r>
        <w:rPr>
          <w:rFonts w:ascii="Arial" w:hAnsi="Arial" w:cs="Arial"/>
          <w:color w:val="000000"/>
          <w:sz w:val="20"/>
          <w:szCs w:val="20"/>
        </w:rPr>
        <w:t>Direct advances to agriculture and SME sectors which are standard, shall attract a uniform provisioning requirement of 0.25 percent of the funded outstanding on a portfolio basis.</w:t>
      </w:r>
    </w:p>
    <w:p w14:paraId="4FC8BC5D" w14:textId="77777777" w:rsidR="00916FF3" w:rsidRDefault="00916FF3" w:rsidP="00916FF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Advances to commercial real estate (CRE) sector which are standard shall attract a uniform provisioning requirement of 1.00 percent of the funded outstanding on a portfolio basis.</w:t>
      </w:r>
    </w:p>
    <w:p w14:paraId="62EF0CA2" w14:textId="77777777" w:rsidR="00916FF3" w:rsidRDefault="00916FF3" w:rsidP="00916FF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For advances to commercial real estate - residential housing (CRE-RH) sector, which are standard, the provisioning requirement shall be 0.75 percent</w:t>
      </w:r>
    </w:p>
    <w:p w14:paraId="07C47C52" w14:textId="77777777" w:rsidR="00916FF3" w:rsidRDefault="00916FF3" w:rsidP="00916FF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For all other advances, banks shall maintain a uniform general standard asset provision of a minimum of 0.40 percent of the funded outstanding on a portfolio basis.</w:t>
      </w:r>
    </w:p>
    <w:p w14:paraId="17E2049F" w14:textId="77777777" w:rsidR="00916FF3" w:rsidRDefault="00916FF3" w:rsidP="00916FF3">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54D80F64" w14:textId="77777777" w:rsidR="00916FF3" w:rsidRDefault="00916FF3" w:rsidP="00916FF3">
      <w:pPr>
        <w:pStyle w:val="NormalWeb"/>
        <w:spacing w:before="0" w:beforeAutospacing="0"/>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FD3620A" w14:textId="77777777" w:rsidR="00916FF3" w:rsidRDefault="00916FF3" w:rsidP="00916FF3">
      <w:pPr>
        <w:spacing w:after="0"/>
      </w:pPr>
      <w:r>
        <w:t>More details can be referred to in the below link.</w:t>
      </w:r>
    </w:p>
    <w:p w14:paraId="759C5666" w14:textId="6B651D5B" w:rsidR="00916FF3" w:rsidRDefault="00916FF3" w:rsidP="00916FF3">
      <w:pPr>
        <w:pStyle w:val="NormalWeb"/>
        <w:rPr>
          <w:rStyle w:val="Hyperlink"/>
          <w:rFonts w:ascii="Arial" w:hAnsi="Arial" w:cs="Arial"/>
          <w:bCs/>
          <w:sz w:val="20"/>
          <w:szCs w:val="20"/>
        </w:rPr>
      </w:pPr>
      <w:r>
        <w:rPr>
          <w:rFonts w:ascii="Arial" w:hAnsi="Arial" w:cs="Arial"/>
          <w:bCs/>
          <w:color w:val="000000"/>
          <w:sz w:val="20"/>
          <w:szCs w:val="20"/>
        </w:rPr>
        <w:t xml:space="preserve">Reference Link:  </w:t>
      </w:r>
      <w:hyperlink r:id="rId44" w:history="1">
        <w:r w:rsidRPr="005F425E">
          <w:rPr>
            <w:rStyle w:val="Hyperlink"/>
            <w:rFonts w:ascii="Arial" w:hAnsi="Arial" w:cs="Arial"/>
            <w:bCs/>
            <w:sz w:val="20"/>
            <w:szCs w:val="20"/>
          </w:rPr>
          <w:t>https://rbi.org.in/Scripts/NotificationUser.aspx?Id=12491&amp;Mode=0</w:t>
        </w:r>
      </w:hyperlink>
      <w:bookmarkEnd w:id="20"/>
    </w:p>
    <w:p w14:paraId="164A10F6" w14:textId="77777777" w:rsidR="00916FF3" w:rsidRDefault="00916FF3" w:rsidP="00916FF3">
      <w:pPr>
        <w:pStyle w:val="NormalWeb"/>
        <w:rPr>
          <w:rFonts w:ascii="Arial" w:hAnsi="Arial" w:cs="Arial"/>
          <w:b/>
          <w:bCs/>
          <w:color w:val="000000"/>
          <w:sz w:val="20"/>
          <w:szCs w:val="20"/>
        </w:rPr>
      </w:pPr>
      <w:bookmarkStart w:id="21" w:name="OLE_LINK61"/>
      <w:r>
        <w:rPr>
          <w:rFonts w:ascii="Arial" w:hAnsi="Arial" w:cs="Arial"/>
          <w:b/>
          <w:bCs/>
          <w:color w:val="000000"/>
          <w:sz w:val="20"/>
          <w:szCs w:val="20"/>
        </w:rPr>
        <w:lastRenderedPageBreak/>
        <w:t>General Credit Card (GCC) Facility – Review</w:t>
      </w:r>
    </w:p>
    <w:bookmarkEnd w:id="21"/>
    <w:p w14:paraId="32797A52"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RBI/2023-24/19</w:t>
      </w:r>
      <w:r>
        <w:rPr>
          <w:rFonts w:ascii="Arial" w:hAnsi="Arial" w:cs="Arial"/>
          <w:color w:val="000000"/>
          <w:sz w:val="20"/>
          <w:szCs w:val="20"/>
        </w:rPr>
        <w:br/>
        <w:t>FIDD.MSME &amp; NFS.BC.No.06/06.02.31/2023-24</w:t>
      </w:r>
    </w:p>
    <w:p w14:paraId="7956642B"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25, 2023</w:t>
      </w:r>
    </w:p>
    <w:p w14:paraId="024DB14C"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Chairman/Managing Director/ Chief Executive Officer</w:t>
      </w:r>
      <w:r>
        <w:rPr>
          <w:rFonts w:ascii="Arial" w:hAnsi="Arial" w:cs="Arial"/>
          <w:color w:val="000000"/>
          <w:sz w:val="20"/>
          <w:szCs w:val="20"/>
        </w:rPr>
        <w:br/>
        <w:t>Scheduled Commercial Banks (excluding Payments Banks) and</w:t>
      </w:r>
      <w:r>
        <w:rPr>
          <w:rFonts w:ascii="Arial" w:hAnsi="Arial" w:cs="Arial"/>
          <w:color w:val="000000"/>
          <w:sz w:val="20"/>
          <w:szCs w:val="20"/>
        </w:rPr>
        <w:br/>
        <w:t>Scheduled Urban Co-operative Banks</w:t>
      </w:r>
    </w:p>
    <w:p w14:paraId="799764D5"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Dear Sir / Madam</w:t>
      </w:r>
    </w:p>
    <w:p w14:paraId="40043060"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General Credit Card (GCC) Facility – Review</w:t>
      </w:r>
    </w:p>
    <w:p w14:paraId="7BC09A21"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45" w:tgtFrame="_blank" w:history="1">
        <w:r>
          <w:rPr>
            <w:rStyle w:val="Hyperlink"/>
            <w:rFonts w:ascii="Arial" w:hAnsi="Arial" w:cs="Arial"/>
            <w:sz w:val="20"/>
            <w:szCs w:val="20"/>
          </w:rPr>
          <w:t>Circular RPCD.MSME &amp; NFS.BC.No.61/06.02.31/2013-14 dated December 02, 2013</w:t>
        </w:r>
      </w:hyperlink>
      <w:r>
        <w:rPr>
          <w:rFonts w:ascii="Arial" w:hAnsi="Arial" w:cs="Arial"/>
          <w:color w:val="000000"/>
          <w:sz w:val="20"/>
          <w:szCs w:val="20"/>
        </w:rPr>
        <w:t> on the Revised General Credit Card (GCC) Scheme.</w:t>
      </w:r>
    </w:p>
    <w:p w14:paraId="26E5DA3A"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On review of the above, and in the light of the provisions contained in the </w:t>
      </w:r>
      <w:hyperlink r:id="rId46" w:tgtFrame="_blank" w:history="1">
        <w:r>
          <w:rPr>
            <w:rStyle w:val="Hyperlink"/>
            <w:rFonts w:ascii="Arial" w:hAnsi="Arial" w:cs="Arial"/>
            <w:sz w:val="20"/>
            <w:szCs w:val="20"/>
          </w:rPr>
          <w:t>Master Direction – Credit Card and Debit Card – Issuance and Conduct Directions, dated April 21, 2022</w:t>
        </w:r>
      </w:hyperlink>
      <w:r>
        <w:rPr>
          <w:rFonts w:ascii="Arial" w:hAnsi="Arial" w:cs="Arial"/>
          <w:color w:val="000000"/>
          <w:sz w:val="20"/>
          <w:szCs w:val="20"/>
        </w:rPr>
        <w:t>, revised instructions on GCC are as follows:</w:t>
      </w:r>
    </w:p>
    <w:p w14:paraId="5AF1AED2" w14:textId="77777777" w:rsidR="00916FF3" w:rsidRDefault="00916FF3" w:rsidP="00916FF3">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 GCC Scheme shall henceforth be called “General Credit Card (GCC) Facility”.</w:t>
      </w:r>
    </w:p>
    <w:p w14:paraId="04CCA0A2" w14:textId="77777777" w:rsidR="00916FF3" w:rsidRDefault="00916FF3" w:rsidP="00916FF3">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 instructions shall apply to all banks which are eligible to issue credit cards under the above Master Direction.</w:t>
      </w:r>
    </w:p>
    <w:p w14:paraId="393B215F" w14:textId="77777777" w:rsidR="00916FF3" w:rsidRDefault="00916FF3" w:rsidP="00916FF3">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Individuals/entities sanctioned working capital facilities for non-farm entrepreneurial activities which are eligible for classification under the priority sector guidelines, may be issued General Credit Cards.</w:t>
      </w:r>
    </w:p>
    <w:p w14:paraId="2C7C0E08" w14:textId="77777777" w:rsidR="00916FF3" w:rsidRDefault="00916FF3" w:rsidP="00916FF3">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GCC shall be issued in the form of a credit card conforming to the stipulations in the above Master Direction as updated from time to time.</w:t>
      </w:r>
    </w:p>
    <w:p w14:paraId="2E331E8D" w14:textId="77777777" w:rsidR="00916FF3" w:rsidRDefault="00916FF3" w:rsidP="00916FF3">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 terms and conditions of the credit facilities extended in the form of GCC shall be as per the Board approved policies of the banks, within the overall framework laid down by Reserve Bank. Guidelines on collateral free lending for micro and small units issued from time to time shall apply.</w:t>
      </w:r>
    </w:p>
    <w:p w14:paraId="7A27D24C" w14:textId="77777777" w:rsidR="00916FF3" w:rsidRDefault="00916FF3" w:rsidP="00916FF3">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Bank shall adhere to the instructions on reporting GCC data as issued by RBI from time to time.</w:t>
      </w:r>
    </w:p>
    <w:p w14:paraId="64BBADF6"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These instructions supersede the GCC guidelines issued in December 2013 and come into effect as on the date of this circular. Debit cards, if any, already issued under the circular of 2013 shall remain valid till their expiry/repayment of the existing credit facilities, whichever is earlier.</w:t>
      </w:r>
    </w:p>
    <w:p w14:paraId="0F0D960E"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174248D7"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64F12AF5" w14:textId="77777777" w:rsidR="00916FF3" w:rsidRDefault="00916FF3" w:rsidP="00916FF3">
      <w:pPr>
        <w:spacing w:after="0"/>
      </w:pPr>
      <w:r>
        <w:t>More details can be referred to in the below link.</w:t>
      </w:r>
    </w:p>
    <w:p w14:paraId="1309E474"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7" w:history="1">
        <w:r w:rsidRPr="005F425E">
          <w:rPr>
            <w:rStyle w:val="Hyperlink"/>
            <w:rFonts w:ascii="Arial" w:hAnsi="Arial" w:cs="Arial"/>
            <w:bCs/>
            <w:sz w:val="20"/>
            <w:szCs w:val="20"/>
          </w:rPr>
          <w:t>https://rbi.org.in/Scripts/NotificationUser.aspx?Id=12492&amp;Mode=0</w:t>
        </w:r>
      </w:hyperlink>
    </w:p>
    <w:p w14:paraId="7D8DFBBF"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ab/>
      </w:r>
    </w:p>
    <w:p w14:paraId="4AFFC4C6" w14:textId="77777777" w:rsidR="00916FF3" w:rsidRDefault="00916FF3" w:rsidP="00916FF3">
      <w:pPr>
        <w:pStyle w:val="NormalWeb"/>
        <w:rPr>
          <w:rFonts w:ascii="Arial" w:hAnsi="Arial" w:cs="Arial"/>
          <w:bCs/>
          <w:color w:val="000000"/>
          <w:sz w:val="20"/>
          <w:szCs w:val="20"/>
        </w:rPr>
      </w:pPr>
    </w:p>
    <w:p w14:paraId="512CB978" w14:textId="77777777" w:rsidR="00916FF3" w:rsidRDefault="00916FF3" w:rsidP="00916FF3">
      <w:pPr>
        <w:pStyle w:val="NormalWeb"/>
        <w:rPr>
          <w:rFonts w:ascii="Arial" w:hAnsi="Arial" w:cs="Arial"/>
          <w:bCs/>
          <w:color w:val="000000"/>
          <w:sz w:val="20"/>
          <w:szCs w:val="20"/>
        </w:rPr>
      </w:pPr>
    </w:p>
    <w:p w14:paraId="3BD40CC2" w14:textId="77777777" w:rsidR="00916FF3" w:rsidRDefault="00916FF3" w:rsidP="00916FF3">
      <w:pPr>
        <w:pStyle w:val="NormalWeb"/>
        <w:rPr>
          <w:rFonts w:ascii="Arial" w:hAnsi="Arial" w:cs="Arial"/>
          <w:bCs/>
          <w:color w:val="000000"/>
          <w:sz w:val="20"/>
          <w:szCs w:val="20"/>
        </w:rPr>
      </w:pPr>
    </w:p>
    <w:p w14:paraId="03777828" w14:textId="77777777" w:rsidR="00916FF3" w:rsidRDefault="00916FF3" w:rsidP="00916FF3">
      <w:pPr>
        <w:pStyle w:val="NormalWeb"/>
        <w:rPr>
          <w:rFonts w:ascii="Arial" w:hAnsi="Arial" w:cs="Arial"/>
          <w:bCs/>
          <w:color w:val="000000"/>
          <w:sz w:val="20"/>
          <w:szCs w:val="20"/>
        </w:rPr>
      </w:pPr>
    </w:p>
    <w:p w14:paraId="6A41B726" w14:textId="77777777" w:rsidR="00916FF3" w:rsidRDefault="00916FF3" w:rsidP="00916FF3">
      <w:pPr>
        <w:pStyle w:val="NormalWeb"/>
        <w:rPr>
          <w:rFonts w:ascii="Arial" w:hAnsi="Arial" w:cs="Arial"/>
          <w:b/>
          <w:bCs/>
          <w:color w:val="000000"/>
          <w:sz w:val="20"/>
          <w:szCs w:val="20"/>
        </w:rPr>
      </w:pPr>
      <w:bookmarkStart w:id="22" w:name="OLE_LINK62"/>
      <w:r>
        <w:rPr>
          <w:rFonts w:ascii="Arial" w:hAnsi="Arial" w:cs="Arial"/>
          <w:b/>
          <w:bCs/>
          <w:color w:val="000000"/>
          <w:sz w:val="20"/>
          <w:szCs w:val="20"/>
        </w:rPr>
        <w:lastRenderedPageBreak/>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bookmarkEnd w:id="22"/>
    <w:p w14:paraId="761C1F8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RBI/2023-24/20</w:t>
      </w:r>
      <w:r>
        <w:rPr>
          <w:rFonts w:ascii="Arial" w:hAnsi="Arial" w:cs="Arial"/>
          <w:color w:val="000000"/>
          <w:sz w:val="20"/>
          <w:szCs w:val="20"/>
        </w:rPr>
        <w:br/>
        <w:t>FIDD.GSSD.CO.BC.No.07/09.01.003/2023-24</w:t>
      </w:r>
    </w:p>
    <w:p w14:paraId="2FF20EAE"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26, 2023</w:t>
      </w:r>
    </w:p>
    <w:p w14:paraId="7429E946"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14:paraId="06E707E3"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Madam/Dear Sir,</w:t>
      </w:r>
    </w:p>
    <w:p w14:paraId="682640D7"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14:paraId="1E926CD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8" w:tgtFrame="_blank" w:history="1">
        <w:r>
          <w:rPr>
            <w:rStyle w:val="Hyperlink"/>
            <w:rFonts w:ascii="Arial" w:hAnsi="Arial" w:cs="Arial"/>
            <w:sz w:val="20"/>
            <w:szCs w:val="20"/>
          </w:rPr>
          <w:t>Master Circular FIDD.GSSD.CO.BC.No.09/09.01.003/2022-23 dated July 20, 2022</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14:paraId="7266742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The enclosed </w:t>
      </w:r>
      <w:hyperlink r:id="rId49"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14:paraId="5F830CA1"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41885E1F"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278F98BD" w14:textId="77777777" w:rsidR="00916FF3" w:rsidRDefault="00916FF3" w:rsidP="00916FF3">
      <w:pPr>
        <w:pStyle w:val="NormalWeb"/>
        <w:rPr>
          <w:rFonts w:ascii="Arial" w:hAnsi="Arial" w:cs="Arial"/>
          <w:color w:val="000000"/>
          <w:sz w:val="20"/>
          <w:szCs w:val="20"/>
        </w:rPr>
      </w:pPr>
    </w:p>
    <w:p w14:paraId="4AE35D75" w14:textId="77777777" w:rsidR="00916FF3" w:rsidRDefault="00916FF3" w:rsidP="00916FF3">
      <w:pPr>
        <w:spacing w:after="0"/>
      </w:pPr>
      <w:r>
        <w:t>More details can be referred to in the below link.</w:t>
      </w:r>
    </w:p>
    <w:p w14:paraId="0F852055" w14:textId="77777777" w:rsidR="00916FF3" w:rsidRDefault="00916FF3" w:rsidP="00916FF3">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0" w:history="1">
        <w:r w:rsidRPr="005F425E">
          <w:rPr>
            <w:rStyle w:val="Hyperlink"/>
            <w:rFonts w:ascii="Arial" w:hAnsi="Arial" w:cs="Arial"/>
            <w:bCs/>
            <w:sz w:val="20"/>
            <w:szCs w:val="20"/>
          </w:rPr>
          <w:t>https://rbi.org.in/Scripts/NotificationUser.aspx?Id=12493&amp;Mode=0</w:t>
        </w:r>
      </w:hyperlink>
    </w:p>
    <w:p w14:paraId="013613A8" w14:textId="77777777" w:rsidR="00916FF3" w:rsidRDefault="00916FF3" w:rsidP="00916FF3">
      <w:pPr>
        <w:pStyle w:val="NormalWeb"/>
        <w:rPr>
          <w:rFonts w:ascii="Arial" w:hAnsi="Arial" w:cs="Arial"/>
          <w:bCs/>
          <w:color w:val="000000"/>
          <w:sz w:val="20"/>
          <w:szCs w:val="20"/>
        </w:rPr>
      </w:pPr>
    </w:p>
    <w:p w14:paraId="129CBF0B" w14:textId="77777777" w:rsidR="00916FF3" w:rsidRDefault="00916FF3" w:rsidP="00916FF3">
      <w:pPr>
        <w:pStyle w:val="NormalWeb"/>
        <w:rPr>
          <w:rFonts w:ascii="Arial" w:hAnsi="Arial" w:cs="Arial"/>
          <w:bCs/>
          <w:color w:val="000000"/>
          <w:sz w:val="20"/>
          <w:szCs w:val="20"/>
        </w:rPr>
      </w:pPr>
    </w:p>
    <w:p w14:paraId="2259C684" w14:textId="77777777" w:rsidR="00916FF3" w:rsidRDefault="00916FF3" w:rsidP="00916FF3">
      <w:pPr>
        <w:pStyle w:val="NormalWeb"/>
        <w:rPr>
          <w:rFonts w:ascii="Arial" w:hAnsi="Arial" w:cs="Arial"/>
          <w:bCs/>
          <w:color w:val="000000"/>
          <w:sz w:val="20"/>
          <w:szCs w:val="20"/>
        </w:rPr>
      </w:pPr>
    </w:p>
    <w:p w14:paraId="692179CC" w14:textId="77777777" w:rsidR="00916FF3" w:rsidRDefault="00916FF3" w:rsidP="00916FF3">
      <w:pPr>
        <w:pStyle w:val="NormalWeb"/>
        <w:rPr>
          <w:rFonts w:ascii="Arial" w:hAnsi="Arial" w:cs="Arial"/>
          <w:bCs/>
          <w:color w:val="000000"/>
          <w:sz w:val="20"/>
          <w:szCs w:val="20"/>
        </w:rPr>
      </w:pPr>
    </w:p>
    <w:p w14:paraId="444A8660" w14:textId="77777777" w:rsidR="00916FF3" w:rsidRDefault="00916FF3" w:rsidP="00916FF3">
      <w:pPr>
        <w:pStyle w:val="NormalWeb"/>
        <w:rPr>
          <w:rFonts w:ascii="Arial" w:hAnsi="Arial" w:cs="Arial"/>
          <w:bCs/>
          <w:color w:val="000000"/>
          <w:sz w:val="20"/>
          <w:szCs w:val="20"/>
        </w:rPr>
      </w:pPr>
    </w:p>
    <w:p w14:paraId="7A11EB63" w14:textId="77777777" w:rsidR="00916FF3" w:rsidRDefault="00916FF3" w:rsidP="00916FF3">
      <w:pPr>
        <w:pStyle w:val="NormalWeb"/>
        <w:rPr>
          <w:rFonts w:ascii="Arial" w:hAnsi="Arial" w:cs="Arial"/>
          <w:bCs/>
          <w:color w:val="000000"/>
          <w:sz w:val="20"/>
          <w:szCs w:val="20"/>
        </w:rPr>
      </w:pPr>
    </w:p>
    <w:p w14:paraId="1C801EFE" w14:textId="77777777" w:rsidR="00916FF3" w:rsidRDefault="00916FF3" w:rsidP="00916FF3">
      <w:pPr>
        <w:pStyle w:val="NormalWeb"/>
        <w:rPr>
          <w:rFonts w:ascii="Arial" w:hAnsi="Arial" w:cs="Arial"/>
          <w:bCs/>
          <w:color w:val="000000"/>
          <w:sz w:val="20"/>
          <w:szCs w:val="20"/>
        </w:rPr>
      </w:pPr>
    </w:p>
    <w:p w14:paraId="7A31AAA5" w14:textId="77777777" w:rsidR="00916FF3" w:rsidRDefault="00916FF3" w:rsidP="00916FF3">
      <w:pPr>
        <w:pStyle w:val="NormalWeb"/>
        <w:rPr>
          <w:rFonts w:ascii="Arial" w:hAnsi="Arial" w:cs="Arial"/>
          <w:bCs/>
          <w:color w:val="000000"/>
          <w:sz w:val="20"/>
          <w:szCs w:val="20"/>
        </w:rPr>
      </w:pPr>
    </w:p>
    <w:p w14:paraId="5E6C7ADE" w14:textId="77777777" w:rsidR="00916FF3" w:rsidRDefault="00916FF3" w:rsidP="00916FF3">
      <w:pPr>
        <w:pStyle w:val="NormalWeb"/>
        <w:rPr>
          <w:rFonts w:ascii="Arial" w:hAnsi="Arial" w:cs="Arial"/>
          <w:bCs/>
          <w:color w:val="000000"/>
          <w:sz w:val="20"/>
          <w:szCs w:val="20"/>
        </w:rPr>
      </w:pPr>
    </w:p>
    <w:p w14:paraId="02B28B77" w14:textId="77777777" w:rsidR="00916FF3" w:rsidRDefault="00916FF3" w:rsidP="00916FF3">
      <w:pPr>
        <w:pStyle w:val="NormalWeb"/>
        <w:rPr>
          <w:rFonts w:ascii="Arial" w:hAnsi="Arial" w:cs="Arial"/>
          <w:bCs/>
          <w:color w:val="000000"/>
          <w:sz w:val="20"/>
          <w:szCs w:val="20"/>
        </w:rPr>
      </w:pPr>
    </w:p>
    <w:p w14:paraId="49E9D476" w14:textId="77777777" w:rsidR="00916FF3" w:rsidRDefault="00916FF3" w:rsidP="00916FF3">
      <w:pPr>
        <w:pStyle w:val="NormalWeb"/>
        <w:rPr>
          <w:rFonts w:ascii="Arial" w:hAnsi="Arial" w:cs="Arial"/>
          <w:bCs/>
          <w:color w:val="000000"/>
          <w:sz w:val="20"/>
          <w:szCs w:val="20"/>
        </w:rPr>
      </w:pPr>
    </w:p>
    <w:p w14:paraId="00E74884" w14:textId="77777777" w:rsidR="00916FF3" w:rsidRDefault="00916FF3" w:rsidP="00916FF3">
      <w:pPr>
        <w:pStyle w:val="NormalWeb"/>
        <w:spacing w:before="0" w:beforeAutospacing="0"/>
        <w:rPr>
          <w:rFonts w:ascii="Arial" w:hAnsi="Arial" w:cs="Arial"/>
          <w:b/>
          <w:bCs/>
          <w:color w:val="000000"/>
          <w:sz w:val="20"/>
          <w:szCs w:val="20"/>
        </w:rPr>
      </w:pPr>
      <w:bookmarkStart w:id="23" w:name="_Hlk141825995"/>
      <w:r>
        <w:rPr>
          <w:rFonts w:ascii="Arial" w:hAnsi="Arial" w:cs="Arial"/>
          <w:b/>
          <w:bCs/>
          <w:color w:val="000000"/>
          <w:sz w:val="20"/>
          <w:szCs w:val="20"/>
        </w:rPr>
        <w:lastRenderedPageBreak/>
        <w:t>Amendment to the Master Direction (MD) on KYC</w:t>
      </w:r>
    </w:p>
    <w:p w14:paraId="43D5B244"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RBI/2023-24/24</w:t>
      </w:r>
      <w:r>
        <w:rPr>
          <w:rFonts w:ascii="Arial" w:hAnsi="Arial" w:cs="Arial"/>
          <w:color w:val="000000"/>
          <w:sz w:val="20"/>
          <w:szCs w:val="20"/>
        </w:rPr>
        <w:br/>
        <w:t>DOR.AML.REC.111/14.01.001/2023-24</w:t>
      </w:r>
    </w:p>
    <w:p w14:paraId="7824AB06"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April 28, 2023</w:t>
      </w:r>
    </w:p>
    <w:p w14:paraId="31C2060F"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14:paraId="7B6F311B"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Dear Sir/Madam,</w:t>
      </w:r>
    </w:p>
    <w:p w14:paraId="73BBD9D5" w14:textId="77777777" w:rsidR="00916FF3" w:rsidRDefault="00916FF3" w:rsidP="00916FF3">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14:paraId="08A0B87E"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1"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14:paraId="18D273D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w:t>
      </w:r>
      <w:hyperlink r:id="rId52" w:tgtFrame="_blank" w:history="1">
        <w:r>
          <w:rPr>
            <w:rStyle w:val="Hyperlink"/>
            <w:rFonts w:ascii="Arial" w:hAnsi="Arial" w:cs="Arial"/>
            <w:sz w:val="20"/>
            <w:szCs w:val="20"/>
          </w:rPr>
          <w:t>Annexure</w:t>
        </w:r>
      </w:hyperlink>
      <w:r>
        <w:rPr>
          <w:rFonts w:ascii="Arial" w:hAnsi="Arial" w:cs="Arial"/>
          <w:color w:val="000000"/>
          <w:sz w:val="20"/>
          <w:szCs w:val="20"/>
        </w:rPr>
        <w:t>.</w:t>
      </w:r>
    </w:p>
    <w:p w14:paraId="5CB2F68A"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53"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14:paraId="58A8FA80"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659EEFB1"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1D5E486C" w14:textId="77777777" w:rsidR="00916FF3" w:rsidRDefault="00916FF3" w:rsidP="00916FF3">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450D1905" w14:textId="77777777" w:rsidR="00916FF3" w:rsidRDefault="00916FF3" w:rsidP="00916FF3">
      <w:pPr>
        <w:spacing w:before="240" w:after="0"/>
      </w:pPr>
    </w:p>
    <w:p w14:paraId="2285C117" w14:textId="77777777" w:rsidR="00916FF3" w:rsidRDefault="00916FF3" w:rsidP="00916FF3">
      <w:pPr>
        <w:spacing w:before="240" w:after="0"/>
      </w:pPr>
      <w:r>
        <w:t>More details can be referred to in the below link.</w:t>
      </w:r>
    </w:p>
    <w:p w14:paraId="004D54E5" w14:textId="77777777" w:rsidR="00916FF3" w:rsidRDefault="00916FF3" w:rsidP="00916FF3">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4" w:history="1">
        <w:r w:rsidRPr="005F425E">
          <w:rPr>
            <w:rStyle w:val="Hyperlink"/>
            <w:rFonts w:ascii="Arial" w:hAnsi="Arial" w:cs="Arial"/>
            <w:bCs/>
            <w:sz w:val="20"/>
            <w:szCs w:val="20"/>
          </w:rPr>
          <w:t>https://rbi.org.in/Scripts/NotificationUser.aspx?Id=12497&amp;Mode=0</w:t>
        </w:r>
      </w:hyperlink>
    </w:p>
    <w:p w14:paraId="31BE77E2" w14:textId="77777777" w:rsidR="00916FF3" w:rsidRDefault="00916FF3" w:rsidP="00916FF3">
      <w:pPr>
        <w:pStyle w:val="NormalWeb"/>
        <w:spacing w:before="240" w:beforeAutospacing="0"/>
        <w:rPr>
          <w:rFonts w:ascii="Arial" w:hAnsi="Arial" w:cs="Arial"/>
          <w:bCs/>
          <w:color w:val="000000"/>
          <w:sz w:val="20"/>
          <w:szCs w:val="20"/>
        </w:rPr>
      </w:pPr>
      <w:r>
        <w:rPr>
          <w:rFonts w:ascii="Arial" w:hAnsi="Arial" w:cs="Arial"/>
          <w:bCs/>
          <w:color w:val="000000"/>
          <w:sz w:val="20"/>
          <w:szCs w:val="20"/>
        </w:rPr>
        <w:tab/>
      </w:r>
    </w:p>
    <w:p w14:paraId="7309F6C3" w14:textId="77777777" w:rsidR="00916FF3" w:rsidRDefault="00916FF3" w:rsidP="00916FF3">
      <w:pPr>
        <w:pStyle w:val="NormalWeb"/>
        <w:spacing w:before="240" w:beforeAutospacing="0"/>
        <w:rPr>
          <w:rFonts w:ascii="Arial" w:hAnsi="Arial" w:cs="Arial"/>
          <w:bCs/>
          <w:color w:val="000000"/>
          <w:sz w:val="20"/>
          <w:szCs w:val="20"/>
        </w:rPr>
      </w:pPr>
    </w:p>
    <w:p w14:paraId="604C8103" w14:textId="77777777" w:rsidR="00916FF3" w:rsidRDefault="00916FF3" w:rsidP="00916FF3">
      <w:pPr>
        <w:pStyle w:val="NormalWeb"/>
        <w:spacing w:before="240" w:beforeAutospacing="0"/>
        <w:rPr>
          <w:rFonts w:ascii="Arial" w:hAnsi="Arial" w:cs="Arial"/>
          <w:bCs/>
          <w:color w:val="000000"/>
          <w:sz w:val="20"/>
          <w:szCs w:val="20"/>
        </w:rPr>
      </w:pPr>
    </w:p>
    <w:p w14:paraId="71FE38C3" w14:textId="77777777" w:rsidR="00916FF3" w:rsidRDefault="00916FF3" w:rsidP="00916FF3">
      <w:pPr>
        <w:pStyle w:val="NormalWeb"/>
        <w:spacing w:before="240" w:beforeAutospacing="0"/>
        <w:rPr>
          <w:rFonts w:ascii="Arial" w:hAnsi="Arial" w:cs="Arial"/>
          <w:bCs/>
          <w:color w:val="000000"/>
          <w:sz w:val="20"/>
          <w:szCs w:val="20"/>
        </w:rPr>
      </w:pPr>
    </w:p>
    <w:p w14:paraId="40D48787" w14:textId="77777777" w:rsidR="00916FF3" w:rsidRDefault="00916FF3" w:rsidP="00916FF3">
      <w:pPr>
        <w:pStyle w:val="NormalWeb"/>
        <w:spacing w:before="240" w:beforeAutospacing="0"/>
        <w:rPr>
          <w:rFonts w:ascii="Arial" w:hAnsi="Arial" w:cs="Arial"/>
          <w:bCs/>
          <w:color w:val="000000"/>
          <w:sz w:val="20"/>
          <w:szCs w:val="20"/>
        </w:rPr>
      </w:pPr>
    </w:p>
    <w:p w14:paraId="34601518" w14:textId="77777777" w:rsidR="00916FF3" w:rsidRDefault="00916FF3" w:rsidP="00916FF3">
      <w:pPr>
        <w:pStyle w:val="NormalWeb"/>
        <w:spacing w:before="240" w:beforeAutospacing="0"/>
        <w:rPr>
          <w:rFonts w:ascii="Arial" w:hAnsi="Arial" w:cs="Arial"/>
          <w:bCs/>
          <w:color w:val="000000"/>
          <w:sz w:val="20"/>
          <w:szCs w:val="20"/>
        </w:rPr>
      </w:pPr>
    </w:p>
    <w:p w14:paraId="65160565" w14:textId="77777777" w:rsidR="00916FF3" w:rsidRDefault="00916FF3" w:rsidP="00916FF3">
      <w:pPr>
        <w:pStyle w:val="NormalWeb"/>
        <w:spacing w:before="240" w:beforeAutospacing="0"/>
        <w:rPr>
          <w:rFonts w:ascii="Arial" w:hAnsi="Arial" w:cs="Arial"/>
          <w:bCs/>
          <w:color w:val="000000"/>
          <w:sz w:val="20"/>
          <w:szCs w:val="20"/>
        </w:rPr>
      </w:pPr>
    </w:p>
    <w:p w14:paraId="18D9DF11" w14:textId="77777777" w:rsidR="00916FF3" w:rsidRDefault="00916FF3" w:rsidP="00916FF3">
      <w:pPr>
        <w:pStyle w:val="NormalWeb"/>
        <w:spacing w:before="240" w:beforeAutospacing="0"/>
        <w:rPr>
          <w:rFonts w:ascii="Arial" w:hAnsi="Arial" w:cs="Arial"/>
          <w:b/>
          <w:bCs/>
          <w:color w:val="000000"/>
          <w:sz w:val="20"/>
          <w:szCs w:val="20"/>
        </w:rPr>
      </w:pPr>
      <w:bookmarkStart w:id="24" w:name="OLE_LINK67"/>
      <w:r>
        <w:rPr>
          <w:rFonts w:ascii="Arial" w:hAnsi="Arial" w:cs="Arial"/>
          <w:b/>
          <w:bCs/>
          <w:color w:val="000000"/>
          <w:sz w:val="20"/>
          <w:szCs w:val="20"/>
        </w:rPr>
        <w:lastRenderedPageBreak/>
        <w:t>Amendment to the Master Direction (MD) on KYC – Instructions on Wire Transfer</w:t>
      </w:r>
    </w:p>
    <w:bookmarkEnd w:id="24"/>
    <w:p w14:paraId="794F4DD0"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RBI/2023-24/25</w:t>
      </w:r>
      <w:r>
        <w:rPr>
          <w:rFonts w:ascii="Arial" w:hAnsi="Arial" w:cs="Arial"/>
          <w:color w:val="000000"/>
          <w:sz w:val="20"/>
          <w:szCs w:val="20"/>
        </w:rPr>
        <w:br/>
        <w:t>DOR.AML.REC.13/14.01.001/2023-24</w:t>
      </w:r>
    </w:p>
    <w:p w14:paraId="72691F11"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May 4, 2023</w:t>
      </w:r>
    </w:p>
    <w:p w14:paraId="45D9CEC7"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Chairpersons/ CEOs of all the Regulated Entities</w:t>
      </w:r>
    </w:p>
    <w:p w14:paraId="4FDE8F05"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Dear Sir/Madam,</w:t>
      </w:r>
    </w:p>
    <w:p w14:paraId="28218DC8" w14:textId="77777777" w:rsidR="00916FF3" w:rsidRDefault="00916FF3" w:rsidP="00916FF3">
      <w:pPr>
        <w:pStyle w:val="head"/>
        <w:rPr>
          <w:rFonts w:ascii="Arial" w:hAnsi="Arial" w:cs="Arial"/>
          <w:b/>
          <w:bCs/>
          <w:color w:val="000000"/>
          <w:sz w:val="20"/>
          <w:szCs w:val="20"/>
        </w:rPr>
      </w:pPr>
      <w:r>
        <w:rPr>
          <w:rFonts w:ascii="Arial" w:hAnsi="Arial" w:cs="Arial"/>
          <w:b/>
          <w:bCs/>
          <w:color w:val="000000"/>
          <w:sz w:val="20"/>
          <w:szCs w:val="20"/>
        </w:rPr>
        <w:t>Amendment to the Master Direction (MD) on KYC – Instructions on Wire Transfer</w:t>
      </w:r>
    </w:p>
    <w:p w14:paraId="2A48F8C4"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Please refer to the </w:t>
      </w:r>
      <w:hyperlink r:id="rId55"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inter alia, have to undertake certain measures while dealing with the Wire Transfer.</w:t>
      </w:r>
    </w:p>
    <w:p w14:paraId="4C7C3924"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2. In this regard, on a review, it has been decided to amend the MD on KYC to update the instructions on Wire Transfer (Section 64 of the MD), also aligning the same with the relevant FATF Recommendation. The amended instructions of Section 64 of the MD on KYC are provided in the </w:t>
      </w:r>
      <w:hyperlink r:id="rId56" w:tgtFrame="_blank" w:history="1">
        <w:r>
          <w:rPr>
            <w:rStyle w:val="Hyperlink"/>
            <w:rFonts w:ascii="Arial" w:hAnsi="Arial" w:cs="Arial"/>
            <w:sz w:val="20"/>
            <w:szCs w:val="20"/>
          </w:rPr>
          <w:t>annexure</w:t>
        </w:r>
      </w:hyperlink>
      <w:r>
        <w:rPr>
          <w:rFonts w:ascii="Arial" w:hAnsi="Arial" w:cs="Arial"/>
          <w:color w:val="000000"/>
          <w:sz w:val="20"/>
          <w:szCs w:val="20"/>
        </w:rPr>
        <w:t> for reference. Further, definitions of the relevant terms used in the amended Wire Transfer instructions are being added in Section 2 (“Definitions”) of the MD on KYC.</w:t>
      </w:r>
    </w:p>
    <w:p w14:paraId="54A8EDEC"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3. The amended provisions shall come into force with immediate effect.</w:t>
      </w:r>
    </w:p>
    <w:p w14:paraId="6FBC5A63"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Yours faithfully,</w:t>
      </w:r>
    </w:p>
    <w:p w14:paraId="27E47822"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02E1870C" w14:textId="77777777" w:rsidR="00916FF3" w:rsidRDefault="00916FF3" w:rsidP="00916FF3">
      <w:pPr>
        <w:pStyle w:val="NormalWeb"/>
        <w:spacing w:before="240" w:beforeAutospacing="0"/>
        <w:rPr>
          <w:rFonts w:ascii="Arial" w:hAnsi="Arial" w:cs="Arial"/>
          <w:color w:val="000000"/>
          <w:sz w:val="20"/>
          <w:szCs w:val="20"/>
        </w:rPr>
      </w:pPr>
      <w:r>
        <w:rPr>
          <w:rFonts w:ascii="Arial" w:hAnsi="Arial" w:cs="Arial"/>
          <w:color w:val="000000"/>
          <w:sz w:val="20"/>
          <w:szCs w:val="20"/>
        </w:rPr>
        <w:t>Enclosure: As above</w:t>
      </w:r>
    </w:p>
    <w:p w14:paraId="210690E8" w14:textId="77777777" w:rsidR="00916FF3" w:rsidRDefault="00916FF3" w:rsidP="00916FF3">
      <w:pPr>
        <w:spacing w:before="240" w:after="0"/>
      </w:pPr>
      <w:r>
        <w:t>More details can be referred to in the below link.</w:t>
      </w:r>
    </w:p>
    <w:p w14:paraId="13F1DAF2" w14:textId="77777777" w:rsidR="00916FF3" w:rsidRDefault="00916FF3" w:rsidP="00916FF3">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7" w:history="1">
        <w:r w:rsidRPr="005F425E">
          <w:rPr>
            <w:rStyle w:val="Hyperlink"/>
            <w:rFonts w:ascii="Arial" w:hAnsi="Arial" w:cs="Arial"/>
            <w:bCs/>
            <w:sz w:val="20"/>
            <w:szCs w:val="20"/>
          </w:rPr>
          <w:t>https://rbi.org.in/Scripts/NotificationUser.aspx?Id=12498&amp;Mode=0</w:t>
        </w:r>
      </w:hyperlink>
    </w:p>
    <w:p w14:paraId="4069250B" w14:textId="77777777" w:rsidR="00916FF3" w:rsidRDefault="00916FF3" w:rsidP="00916FF3">
      <w:pPr>
        <w:pStyle w:val="NormalWeb"/>
        <w:spacing w:before="240" w:beforeAutospacing="0"/>
        <w:rPr>
          <w:rFonts w:ascii="Arial" w:hAnsi="Arial" w:cs="Arial"/>
          <w:bCs/>
          <w:color w:val="000000"/>
          <w:sz w:val="20"/>
          <w:szCs w:val="20"/>
        </w:rPr>
      </w:pPr>
    </w:p>
    <w:p w14:paraId="1CBEFA81" w14:textId="77777777" w:rsidR="00916FF3" w:rsidRDefault="00916FF3" w:rsidP="00916FF3">
      <w:pPr>
        <w:pStyle w:val="NormalWeb"/>
        <w:spacing w:before="240" w:beforeAutospacing="0"/>
        <w:rPr>
          <w:rFonts w:ascii="Arial" w:hAnsi="Arial" w:cs="Arial"/>
          <w:bCs/>
          <w:color w:val="000000"/>
          <w:sz w:val="20"/>
          <w:szCs w:val="20"/>
        </w:rPr>
      </w:pPr>
    </w:p>
    <w:p w14:paraId="659CE2BB" w14:textId="77777777" w:rsidR="00916FF3" w:rsidRDefault="00916FF3" w:rsidP="00916FF3">
      <w:pPr>
        <w:pStyle w:val="NormalWeb"/>
        <w:spacing w:before="240" w:beforeAutospacing="0"/>
        <w:rPr>
          <w:rFonts w:ascii="Arial" w:hAnsi="Arial" w:cs="Arial"/>
          <w:bCs/>
          <w:color w:val="000000"/>
          <w:sz w:val="20"/>
          <w:szCs w:val="20"/>
        </w:rPr>
      </w:pPr>
    </w:p>
    <w:p w14:paraId="4EB2FECB" w14:textId="77777777" w:rsidR="00916FF3" w:rsidRDefault="00916FF3" w:rsidP="00916FF3">
      <w:pPr>
        <w:pStyle w:val="NormalWeb"/>
        <w:spacing w:before="240" w:beforeAutospacing="0"/>
        <w:rPr>
          <w:rFonts w:ascii="Arial" w:hAnsi="Arial" w:cs="Arial"/>
          <w:bCs/>
          <w:color w:val="000000"/>
          <w:sz w:val="20"/>
          <w:szCs w:val="20"/>
        </w:rPr>
      </w:pPr>
    </w:p>
    <w:p w14:paraId="43E589F0" w14:textId="77777777" w:rsidR="00916FF3" w:rsidRDefault="00916FF3" w:rsidP="00916FF3">
      <w:pPr>
        <w:pStyle w:val="NormalWeb"/>
        <w:spacing w:before="240" w:beforeAutospacing="0"/>
        <w:rPr>
          <w:rFonts w:ascii="Arial" w:hAnsi="Arial" w:cs="Arial"/>
          <w:bCs/>
          <w:color w:val="000000"/>
          <w:sz w:val="20"/>
          <w:szCs w:val="20"/>
        </w:rPr>
      </w:pPr>
    </w:p>
    <w:p w14:paraId="57E98E02" w14:textId="77777777" w:rsidR="00916FF3" w:rsidRDefault="00916FF3" w:rsidP="00916FF3">
      <w:pPr>
        <w:pStyle w:val="NormalWeb"/>
        <w:spacing w:before="240" w:beforeAutospacing="0"/>
        <w:rPr>
          <w:rFonts w:ascii="Arial" w:hAnsi="Arial" w:cs="Arial"/>
          <w:bCs/>
          <w:color w:val="000000"/>
          <w:sz w:val="20"/>
          <w:szCs w:val="20"/>
        </w:rPr>
      </w:pPr>
    </w:p>
    <w:p w14:paraId="35F9CA0E" w14:textId="77777777" w:rsidR="00916FF3" w:rsidRDefault="00916FF3" w:rsidP="00916FF3">
      <w:pPr>
        <w:pStyle w:val="NormalWeb"/>
        <w:spacing w:before="240" w:beforeAutospacing="0"/>
        <w:rPr>
          <w:rFonts w:ascii="Arial" w:hAnsi="Arial" w:cs="Arial"/>
          <w:bCs/>
          <w:color w:val="000000"/>
          <w:sz w:val="20"/>
          <w:szCs w:val="20"/>
        </w:rPr>
      </w:pPr>
    </w:p>
    <w:p w14:paraId="4AC94112" w14:textId="77777777" w:rsidR="00916FF3" w:rsidRDefault="00916FF3" w:rsidP="00916FF3">
      <w:pPr>
        <w:pStyle w:val="NormalWeb"/>
        <w:spacing w:before="240" w:beforeAutospacing="0"/>
        <w:rPr>
          <w:rFonts w:ascii="Arial" w:hAnsi="Arial" w:cs="Arial"/>
          <w:bCs/>
          <w:color w:val="000000"/>
          <w:sz w:val="20"/>
          <w:szCs w:val="20"/>
        </w:rPr>
      </w:pPr>
    </w:p>
    <w:p w14:paraId="25D21C0B" w14:textId="77777777" w:rsidR="00916FF3" w:rsidRDefault="00916FF3" w:rsidP="00916FF3">
      <w:pPr>
        <w:pStyle w:val="NormalWeb"/>
        <w:spacing w:before="240" w:beforeAutospacing="0"/>
        <w:rPr>
          <w:rFonts w:ascii="Arial" w:hAnsi="Arial" w:cs="Arial"/>
          <w:bCs/>
          <w:color w:val="000000"/>
          <w:sz w:val="20"/>
          <w:szCs w:val="20"/>
        </w:rPr>
      </w:pPr>
    </w:p>
    <w:bookmarkEnd w:id="23"/>
    <w:p w14:paraId="088A96EF" w14:textId="77777777" w:rsidR="00916FF3" w:rsidRDefault="00916FF3" w:rsidP="00916FF3">
      <w:pPr>
        <w:pStyle w:val="NormalWeb"/>
        <w:spacing w:before="240" w:beforeAutospacing="0"/>
        <w:rPr>
          <w:rFonts w:ascii="Arial" w:hAnsi="Arial" w:cs="Arial"/>
          <w:bCs/>
          <w:color w:val="000000"/>
          <w:sz w:val="20"/>
          <w:szCs w:val="20"/>
        </w:rPr>
      </w:pPr>
    </w:p>
    <w:p w14:paraId="47CD067F" w14:textId="77777777" w:rsidR="00916FF3" w:rsidRDefault="00916FF3" w:rsidP="00916FF3">
      <w:pPr>
        <w:pStyle w:val="NormalWeb"/>
        <w:spacing w:before="240" w:beforeAutospacing="0"/>
        <w:rPr>
          <w:rFonts w:ascii="Arial" w:hAnsi="Arial" w:cs="Arial"/>
          <w:b/>
          <w:bCs/>
          <w:color w:val="000000"/>
          <w:sz w:val="20"/>
          <w:szCs w:val="20"/>
        </w:rPr>
      </w:pPr>
      <w:bookmarkStart w:id="25" w:name="OLE_LINK68"/>
      <w:bookmarkStart w:id="26" w:name="_Hlk141826500"/>
      <w:r>
        <w:rPr>
          <w:rFonts w:ascii="Arial" w:hAnsi="Arial" w:cs="Arial"/>
          <w:b/>
          <w:bCs/>
          <w:color w:val="000000"/>
          <w:sz w:val="20"/>
          <w:szCs w:val="20"/>
        </w:rPr>
        <w:lastRenderedPageBreak/>
        <w:t>Master Circular - Income Recognition, Asset Classification, Provisioning and Other Related Matters – UCBs</w:t>
      </w:r>
    </w:p>
    <w:bookmarkEnd w:id="25"/>
    <w:p w14:paraId="1F7F0E6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RBI/2023-24/26</w:t>
      </w:r>
      <w:r>
        <w:rPr>
          <w:rFonts w:ascii="Arial" w:hAnsi="Arial" w:cs="Arial"/>
          <w:color w:val="000000"/>
          <w:sz w:val="20"/>
          <w:szCs w:val="20"/>
        </w:rPr>
        <w:br/>
        <w:t>DOR.STR.REC.14/21.04.048/2023-24</w:t>
      </w:r>
    </w:p>
    <w:p w14:paraId="68585E35"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May 08, 2023</w:t>
      </w:r>
    </w:p>
    <w:p w14:paraId="2122FA76"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14:paraId="55EF473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 / Dear Sir,</w:t>
      </w:r>
    </w:p>
    <w:p w14:paraId="578C450D"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14:paraId="3B41DA6A"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8" w:tgtFrame="_blank" w:history="1">
        <w:r>
          <w:rPr>
            <w:rStyle w:val="Hyperlink"/>
            <w:rFonts w:ascii="Arial" w:hAnsi="Arial" w:cs="Arial"/>
            <w:sz w:val="20"/>
            <w:szCs w:val="20"/>
          </w:rPr>
          <w:t>Master Circular DOR.STR.REC.5/21.04.048/2022-23 dated April 1, 2022</w:t>
        </w:r>
      </w:hyperlink>
      <w:r>
        <w:rPr>
          <w:rFonts w:ascii="Arial" w:hAnsi="Arial" w:cs="Arial"/>
          <w:color w:val="000000"/>
          <w:sz w:val="20"/>
          <w:szCs w:val="20"/>
        </w:rPr>
        <w:t> on the captioned subject. The enclosed </w:t>
      </w:r>
      <w:hyperlink r:id="rId59"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 as listed in the </w:t>
      </w:r>
      <w:hyperlink r:id="rId60" w:anchor="AN9" w:history="1">
        <w:r>
          <w:rPr>
            <w:rStyle w:val="Hyperlink"/>
            <w:rFonts w:ascii="Arial" w:hAnsi="Arial" w:cs="Arial"/>
            <w:sz w:val="20"/>
            <w:szCs w:val="20"/>
          </w:rPr>
          <w:t>Annex 9</w:t>
        </w:r>
      </w:hyperlink>
      <w:r>
        <w:rPr>
          <w:rFonts w:ascii="Arial" w:hAnsi="Arial" w:cs="Arial"/>
          <w:color w:val="000000"/>
          <w:sz w:val="20"/>
          <w:szCs w:val="20"/>
        </w:rPr>
        <w:t>.</w:t>
      </w:r>
    </w:p>
    <w:p w14:paraId="6864F46A"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04017388"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6B9E6E5" w14:textId="77777777" w:rsidR="00916FF3" w:rsidRDefault="00916FF3" w:rsidP="00916FF3">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4DBCBC3" w14:textId="77777777" w:rsidR="00916FF3" w:rsidRDefault="00916FF3" w:rsidP="00916FF3">
      <w:pPr>
        <w:pStyle w:val="NormalWeb"/>
        <w:spacing w:before="240" w:beforeAutospacing="0"/>
        <w:rPr>
          <w:rFonts w:ascii="Arial" w:hAnsi="Arial" w:cs="Arial"/>
          <w:bCs/>
          <w:color w:val="000000"/>
          <w:sz w:val="20"/>
          <w:szCs w:val="20"/>
        </w:rPr>
      </w:pPr>
    </w:p>
    <w:p w14:paraId="5F24D93F" w14:textId="77777777" w:rsidR="00916FF3" w:rsidRDefault="00916FF3" w:rsidP="00916FF3">
      <w:pPr>
        <w:spacing w:before="240" w:after="0"/>
      </w:pPr>
      <w:r>
        <w:t>More details can be referred to in the below link.</w:t>
      </w:r>
    </w:p>
    <w:p w14:paraId="23AF24D3" w14:textId="77777777" w:rsidR="00916FF3" w:rsidRDefault="00916FF3" w:rsidP="00916FF3">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1" w:history="1">
        <w:r w:rsidRPr="005F425E">
          <w:rPr>
            <w:rStyle w:val="Hyperlink"/>
            <w:rFonts w:ascii="Arial" w:hAnsi="Arial" w:cs="Arial"/>
            <w:bCs/>
            <w:sz w:val="20"/>
            <w:szCs w:val="20"/>
          </w:rPr>
          <w:t>https://rbi.org.in/Scripts/NotificationUser.aspx?Id=12499&amp;Mode=0</w:t>
        </w:r>
      </w:hyperlink>
    </w:p>
    <w:p w14:paraId="11246B74" w14:textId="77777777" w:rsidR="00916FF3" w:rsidRDefault="00916FF3" w:rsidP="00916FF3">
      <w:pPr>
        <w:pStyle w:val="NormalWeb"/>
        <w:spacing w:before="240" w:beforeAutospacing="0"/>
        <w:rPr>
          <w:rFonts w:ascii="Arial" w:hAnsi="Arial" w:cs="Arial"/>
          <w:bCs/>
          <w:color w:val="000000"/>
          <w:sz w:val="20"/>
          <w:szCs w:val="20"/>
        </w:rPr>
      </w:pPr>
    </w:p>
    <w:p w14:paraId="3D3AE87A" w14:textId="77777777" w:rsidR="00916FF3" w:rsidRDefault="00916FF3" w:rsidP="00916FF3">
      <w:pPr>
        <w:pStyle w:val="NormalWeb"/>
        <w:spacing w:before="240" w:beforeAutospacing="0"/>
        <w:rPr>
          <w:rFonts w:ascii="Arial" w:hAnsi="Arial" w:cs="Arial"/>
          <w:bCs/>
          <w:color w:val="000000"/>
          <w:sz w:val="20"/>
          <w:szCs w:val="20"/>
        </w:rPr>
      </w:pPr>
    </w:p>
    <w:p w14:paraId="17F57806" w14:textId="77777777" w:rsidR="00916FF3" w:rsidRDefault="00916FF3" w:rsidP="00916FF3">
      <w:pPr>
        <w:pStyle w:val="NormalWeb"/>
        <w:spacing w:before="240" w:beforeAutospacing="0"/>
        <w:rPr>
          <w:rFonts w:ascii="Arial" w:hAnsi="Arial" w:cs="Arial"/>
          <w:bCs/>
          <w:color w:val="000000"/>
          <w:sz w:val="20"/>
          <w:szCs w:val="20"/>
        </w:rPr>
      </w:pPr>
    </w:p>
    <w:p w14:paraId="3F0A40A4" w14:textId="77777777" w:rsidR="00916FF3" w:rsidRDefault="00916FF3" w:rsidP="00916FF3">
      <w:pPr>
        <w:pStyle w:val="NormalWeb"/>
        <w:spacing w:before="240" w:beforeAutospacing="0"/>
        <w:rPr>
          <w:rFonts w:ascii="Arial" w:hAnsi="Arial" w:cs="Arial"/>
          <w:bCs/>
          <w:color w:val="000000"/>
          <w:sz w:val="20"/>
          <w:szCs w:val="20"/>
        </w:rPr>
      </w:pPr>
    </w:p>
    <w:p w14:paraId="075EB1D7" w14:textId="77777777" w:rsidR="00916FF3" w:rsidRDefault="00916FF3" w:rsidP="00916FF3">
      <w:pPr>
        <w:pStyle w:val="NormalWeb"/>
        <w:spacing w:before="240" w:beforeAutospacing="0"/>
        <w:rPr>
          <w:rFonts w:ascii="Arial" w:hAnsi="Arial" w:cs="Arial"/>
          <w:bCs/>
          <w:color w:val="000000"/>
          <w:sz w:val="20"/>
          <w:szCs w:val="20"/>
        </w:rPr>
      </w:pPr>
    </w:p>
    <w:p w14:paraId="56D94BE9" w14:textId="77777777" w:rsidR="00916FF3" w:rsidRDefault="00916FF3" w:rsidP="00916FF3">
      <w:pPr>
        <w:pStyle w:val="NormalWeb"/>
        <w:spacing w:before="240" w:beforeAutospacing="0"/>
        <w:rPr>
          <w:rFonts w:ascii="Arial" w:hAnsi="Arial" w:cs="Arial"/>
          <w:bCs/>
          <w:color w:val="000000"/>
          <w:sz w:val="20"/>
          <w:szCs w:val="20"/>
        </w:rPr>
      </w:pPr>
    </w:p>
    <w:p w14:paraId="69421C6F" w14:textId="77777777" w:rsidR="00916FF3" w:rsidRDefault="00916FF3" w:rsidP="00916FF3">
      <w:pPr>
        <w:pStyle w:val="NormalWeb"/>
        <w:spacing w:before="240" w:beforeAutospacing="0"/>
        <w:rPr>
          <w:rFonts w:ascii="Arial" w:hAnsi="Arial" w:cs="Arial"/>
          <w:bCs/>
          <w:color w:val="000000"/>
          <w:sz w:val="20"/>
          <w:szCs w:val="20"/>
        </w:rPr>
      </w:pPr>
    </w:p>
    <w:p w14:paraId="2849B2A8" w14:textId="77777777" w:rsidR="00916FF3" w:rsidRDefault="00916FF3" w:rsidP="00916FF3">
      <w:pPr>
        <w:pStyle w:val="NormalWeb"/>
        <w:spacing w:before="240" w:beforeAutospacing="0"/>
        <w:rPr>
          <w:rFonts w:ascii="Arial" w:hAnsi="Arial" w:cs="Arial"/>
          <w:bCs/>
          <w:color w:val="000000"/>
          <w:sz w:val="20"/>
          <w:szCs w:val="20"/>
        </w:rPr>
      </w:pPr>
    </w:p>
    <w:p w14:paraId="2E5792D3" w14:textId="77777777" w:rsidR="00916FF3" w:rsidRDefault="00916FF3" w:rsidP="00916FF3">
      <w:pPr>
        <w:pStyle w:val="NormalWeb"/>
        <w:spacing w:before="240" w:beforeAutospacing="0"/>
        <w:rPr>
          <w:rFonts w:ascii="Arial" w:hAnsi="Arial" w:cs="Arial"/>
          <w:bCs/>
          <w:color w:val="000000"/>
          <w:sz w:val="20"/>
          <w:szCs w:val="20"/>
        </w:rPr>
      </w:pPr>
    </w:p>
    <w:p w14:paraId="70A8808A" w14:textId="77777777" w:rsidR="00916FF3" w:rsidRDefault="00916FF3" w:rsidP="00916FF3">
      <w:pPr>
        <w:pStyle w:val="NormalWeb"/>
        <w:spacing w:before="240" w:beforeAutospacing="0"/>
        <w:rPr>
          <w:rFonts w:ascii="Arial" w:hAnsi="Arial" w:cs="Arial"/>
          <w:bCs/>
          <w:color w:val="000000"/>
          <w:sz w:val="20"/>
          <w:szCs w:val="20"/>
        </w:rPr>
      </w:pPr>
    </w:p>
    <w:bookmarkEnd w:id="13"/>
    <w:bookmarkEnd w:id="26"/>
    <w:p w14:paraId="2A5BAD9B" w14:textId="77777777" w:rsidR="00916FF3" w:rsidRDefault="00916FF3"/>
    <w:p w14:paraId="368EA0DF" w14:textId="77777777" w:rsidR="00916FF3" w:rsidRDefault="00916FF3" w:rsidP="00916FF3">
      <w:pPr>
        <w:pStyle w:val="NormalWeb"/>
        <w:spacing w:before="240" w:beforeAutospacing="0"/>
        <w:rPr>
          <w:rFonts w:ascii="Arial" w:hAnsi="Arial" w:cs="Arial"/>
          <w:b/>
          <w:bCs/>
          <w:color w:val="000000"/>
          <w:sz w:val="20"/>
          <w:szCs w:val="20"/>
        </w:rPr>
      </w:pPr>
      <w:bookmarkStart w:id="27" w:name="_Hlk141827828"/>
      <w:r>
        <w:rPr>
          <w:rFonts w:ascii="Arial" w:hAnsi="Arial" w:cs="Arial"/>
          <w:b/>
          <w:bCs/>
          <w:color w:val="000000"/>
          <w:sz w:val="20"/>
          <w:szCs w:val="20"/>
        </w:rPr>
        <w:lastRenderedPageBreak/>
        <w:t>Framework for Compromise Settlements and Technical Write-offs</w:t>
      </w:r>
    </w:p>
    <w:p w14:paraId="18BE4F33"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57F1163E" w14:textId="77777777" w:rsidR="00916FF3" w:rsidRDefault="00916FF3" w:rsidP="00916FF3">
      <w:pPr>
        <w:pStyle w:val="NormalWeb"/>
        <w:jc w:val="right"/>
        <w:rPr>
          <w:rFonts w:ascii="Arial" w:hAnsi="Arial" w:cs="Arial"/>
          <w:color w:val="000000"/>
          <w:sz w:val="20"/>
          <w:szCs w:val="20"/>
        </w:rPr>
      </w:pPr>
      <w:r>
        <w:rPr>
          <w:rFonts w:ascii="Arial" w:hAnsi="Arial" w:cs="Arial"/>
          <w:color w:val="000000"/>
          <w:sz w:val="20"/>
          <w:szCs w:val="20"/>
        </w:rPr>
        <w:t>June 08, 2023</w:t>
      </w:r>
    </w:p>
    <w:p w14:paraId="56EF23A3"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2F36F943"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Madam/Dear Sir,</w:t>
      </w:r>
    </w:p>
    <w:p w14:paraId="6B053908" w14:textId="77777777" w:rsidR="00916FF3" w:rsidRDefault="00916FF3" w:rsidP="00916FF3">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4269E2DD"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62"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b/>
          <w:bCs/>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63"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64" w:anchor="AN" w:history="1">
        <w:r>
          <w:rPr>
            <w:rStyle w:val="Hyperlink"/>
            <w:rFonts w:ascii="Arial" w:hAnsi="Arial" w:cs="Arial"/>
            <w:sz w:val="20"/>
            <w:szCs w:val="20"/>
          </w:rPr>
          <w:t>Annex</w:t>
        </w:r>
      </w:hyperlink>
      <w:r>
        <w:rPr>
          <w:rFonts w:ascii="Arial" w:hAnsi="Arial" w:cs="Arial"/>
          <w:color w:val="000000"/>
          <w:sz w:val="20"/>
          <w:szCs w:val="20"/>
        </w:rPr>
        <w:t>.</w:t>
      </w:r>
    </w:p>
    <w:p w14:paraId="733114F8"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3CFE6262"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06111FD9" w14:textId="77777777" w:rsidR="00916FF3" w:rsidRDefault="00916FF3" w:rsidP="00916FF3">
      <w:pPr>
        <w:pStyle w:val="NormalWeb"/>
        <w:jc w:val="both"/>
        <w:rPr>
          <w:rFonts w:ascii="Arial" w:hAnsi="Arial" w:cs="Arial"/>
          <w:color w:val="000000"/>
          <w:sz w:val="20"/>
          <w:szCs w:val="20"/>
        </w:rPr>
      </w:pPr>
      <w:r>
        <w:rPr>
          <w:rFonts w:ascii="Arial" w:hAnsi="Arial" w:cs="Arial"/>
          <w:color w:val="000000"/>
          <w:sz w:val="20"/>
          <w:szCs w:val="20"/>
        </w:rPr>
        <w:t>Yours faithfully,</w:t>
      </w:r>
    </w:p>
    <w:p w14:paraId="59FF7DEE" w14:textId="77777777" w:rsidR="00916FF3" w:rsidRDefault="00916FF3" w:rsidP="00916FF3">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398EF2D8" w14:textId="77777777" w:rsidR="00916FF3" w:rsidRDefault="00916FF3" w:rsidP="00916FF3">
      <w:pPr>
        <w:pStyle w:val="NormalWeb"/>
        <w:spacing w:before="240" w:beforeAutospacing="0"/>
        <w:rPr>
          <w:rFonts w:ascii="Arial" w:hAnsi="Arial" w:cs="Arial"/>
          <w:color w:val="000000"/>
          <w:sz w:val="20"/>
          <w:szCs w:val="20"/>
        </w:rPr>
      </w:pPr>
    </w:p>
    <w:p w14:paraId="3C072B13" w14:textId="77777777" w:rsidR="00916FF3" w:rsidRDefault="00916FF3" w:rsidP="00916FF3">
      <w:pPr>
        <w:spacing w:before="240" w:after="0"/>
      </w:pPr>
      <w:r>
        <w:t>More details can be referred to in the below link.</w:t>
      </w:r>
    </w:p>
    <w:p w14:paraId="7A0C533D" w14:textId="77777777" w:rsidR="00916FF3" w:rsidRDefault="00916FF3" w:rsidP="00916FF3">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5" w:history="1">
        <w:r w:rsidRPr="005F425E">
          <w:rPr>
            <w:rStyle w:val="Hyperlink"/>
            <w:rFonts w:ascii="Arial" w:hAnsi="Arial" w:cs="Arial"/>
            <w:bCs/>
            <w:sz w:val="20"/>
            <w:szCs w:val="20"/>
          </w:rPr>
          <w:t>https://rbi.org.in/Scripts/NotificationUser.aspx?Id=12513&amp;Mode=0</w:t>
        </w:r>
      </w:hyperlink>
    </w:p>
    <w:p w14:paraId="45E2351C" w14:textId="77777777" w:rsidR="00916FF3" w:rsidRDefault="00916FF3" w:rsidP="00916FF3">
      <w:pPr>
        <w:pStyle w:val="NormalWeb"/>
        <w:spacing w:before="240" w:beforeAutospacing="0"/>
        <w:rPr>
          <w:rFonts w:ascii="Arial" w:hAnsi="Arial" w:cs="Arial"/>
          <w:bCs/>
          <w:color w:val="000000"/>
          <w:sz w:val="20"/>
          <w:szCs w:val="20"/>
        </w:rPr>
      </w:pPr>
    </w:p>
    <w:p w14:paraId="121C4705" w14:textId="77777777" w:rsidR="00916FF3" w:rsidRDefault="00916FF3" w:rsidP="00916FF3">
      <w:pPr>
        <w:pStyle w:val="NormalWeb"/>
        <w:spacing w:before="240" w:beforeAutospacing="0"/>
        <w:rPr>
          <w:rFonts w:ascii="Arial" w:hAnsi="Arial" w:cs="Arial"/>
          <w:bCs/>
          <w:color w:val="000000"/>
          <w:sz w:val="20"/>
          <w:szCs w:val="20"/>
        </w:rPr>
      </w:pPr>
    </w:p>
    <w:p w14:paraId="61DD481B" w14:textId="77777777" w:rsidR="00916FF3" w:rsidRDefault="00916FF3" w:rsidP="00916FF3">
      <w:pPr>
        <w:pStyle w:val="NormalWeb"/>
        <w:spacing w:before="240" w:beforeAutospacing="0"/>
        <w:rPr>
          <w:rFonts w:ascii="Arial" w:hAnsi="Arial" w:cs="Arial"/>
          <w:bCs/>
          <w:color w:val="000000"/>
          <w:sz w:val="20"/>
          <w:szCs w:val="20"/>
        </w:rPr>
      </w:pPr>
    </w:p>
    <w:p w14:paraId="012423FB" w14:textId="77777777" w:rsidR="00916FF3" w:rsidRDefault="00916FF3" w:rsidP="00916FF3">
      <w:pPr>
        <w:pStyle w:val="NormalWeb"/>
        <w:spacing w:before="240" w:beforeAutospacing="0"/>
        <w:rPr>
          <w:rFonts w:ascii="Arial" w:hAnsi="Arial" w:cs="Arial"/>
          <w:bCs/>
          <w:color w:val="000000"/>
          <w:sz w:val="20"/>
          <w:szCs w:val="20"/>
        </w:rPr>
      </w:pPr>
    </w:p>
    <w:bookmarkEnd w:id="27"/>
    <w:p w14:paraId="7CFDAA95" w14:textId="77777777" w:rsidR="00916FF3" w:rsidRDefault="00916FF3"/>
    <w:p w14:paraId="49405412" w14:textId="77777777" w:rsidR="006E4745" w:rsidRDefault="006E4745" w:rsidP="006E4745">
      <w:pPr>
        <w:pStyle w:val="NormalWeb"/>
        <w:spacing w:before="240" w:beforeAutospacing="0"/>
        <w:rPr>
          <w:rFonts w:ascii="Arial" w:hAnsi="Arial" w:cs="Arial"/>
          <w:b/>
          <w:bCs/>
          <w:color w:val="000000"/>
          <w:sz w:val="20"/>
          <w:szCs w:val="20"/>
        </w:rPr>
      </w:pPr>
      <w:bookmarkStart w:id="28" w:name="OLE_LINK82"/>
      <w:bookmarkStart w:id="29" w:name="_Hlk141826701"/>
      <w:r>
        <w:rPr>
          <w:rFonts w:ascii="Arial" w:hAnsi="Arial" w:cs="Arial"/>
          <w:b/>
          <w:bCs/>
          <w:color w:val="000000"/>
          <w:sz w:val="20"/>
          <w:szCs w:val="20"/>
        </w:rPr>
        <w:lastRenderedPageBreak/>
        <w:t>Guidelines on Default Loss Guarantee (DLG) in Digital Lending</w:t>
      </w:r>
    </w:p>
    <w:bookmarkEnd w:id="28"/>
    <w:p w14:paraId="43E61B8B"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6DBB77A3" w14:textId="77777777" w:rsidR="006E4745" w:rsidRDefault="006E4745" w:rsidP="006E4745">
      <w:pPr>
        <w:pStyle w:val="NormalWeb"/>
        <w:jc w:val="right"/>
        <w:rPr>
          <w:rFonts w:ascii="Arial" w:hAnsi="Arial" w:cs="Arial"/>
          <w:color w:val="000000"/>
          <w:sz w:val="20"/>
          <w:szCs w:val="20"/>
        </w:rPr>
      </w:pPr>
      <w:r>
        <w:rPr>
          <w:rFonts w:ascii="Arial" w:hAnsi="Arial" w:cs="Arial"/>
          <w:color w:val="000000"/>
          <w:sz w:val="20"/>
          <w:szCs w:val="20"/>
        </w:rPr>
        <w:t>June 08, 2023</w:t>
      </w:r>
    </w:p>
    <w:p w14:paraId="4BE9A7BE" w14:textId="77777777" w:rsidR="006E4745" w:rsidRDefault="006E4745" w:rsidP="006E4745">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5DD503DB"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Madam/ Dear Sir,</w:t>
      </w:r>
    </w:p>
    <w:p w14:paraId="5001CE9C" w14:textId="77777777" w:rsidR="006E4745" w:rsidRDefault="006E4745" w:rsidP="006E4745">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70601FA5"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66"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32AAE924"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67"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68"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69"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61BEC8A4"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6F242F1D"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5A306F2F"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Yours faithfully,</w:t>
      </w:r>
    </w:p>
    <w:p w14:paraId="0F263D76" w14:textId="77777777" w:rsidR="006E4745" w:rsidRDefault="006E4745" w:rsidP="006E4745">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910941C" w14:textId="77777777" w:rsidR="006E4745" w:rsidRDefault="006E4745" w:rsidP="006E4745">
      <w:pPr>
        <w:spacing w:before="240" w:after="0"/>
      </w:pPr>
      <w:r>
        <w:t>More details can be referred to in the below link.</w:t>
      </w:r>
    </w:p>
    <w:p w14:paraId="1C0ED183" w14:textId="77777777" w:rsidR="006E4745" w:rsidRDefault="006E4745" w:rsidP="006E474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0" w:history="1">
        <w:r w:rsidRPr="005F425E">
          <w:rPr>
            <w:rStyle w:val="Hyperlink"/>
            <w:rFonts w:ascii="Arial" w:hAnsi="Arial" w:cs="Arial"/>
            <w:bCs/>
            <w:sz w:val="20"/>
            <w:szCs w:val="20"/>
          </w:rPr>
          <w:t>https://rbi.org.in/Scripts/NotificationUser.aspx?Id=12514&amp;Mode=0</w:t>
        </w:r>
      </w:hyperlink>
    </w:p>
    <w:p w14:paraId="7F88522C" w14:textId="77777777" w:rsidR="006E4745" w:rsidRDefault="006E4745" w:rsidP="006E4745">
      <w:pPr>
        <w:pStyle w:val="NormalWeb"/>
        <w:rPr>
          <w:rFonts w:ascii="Arial" w:hAnsi="Arial" w:cs="Arial"/>
          <w:bCs/>
          <w:color w:val="000000"/>
          <w:sz w:val="20"/>
          <w:szCs w:val="20"/>
        </w:rPr>
      </w:pPr>
    </w:p>
    <w:p w14:paraId="2BC55C0B" w14:textId="77777777" w:rsidR="006E4745" w:rsidRDefault="006E4745" w:rsidP="006E4745">
      <w:pPr>
        <w:pStyle w:val="NormalWeb"/>
        <w:rPr>
          <w:rFonts w:ascii="Arial" w:hAnsi="Arial" w:cs="Arial"/>
          <w:bCs/>
          <w:color w:val="000000"/>
          <w:sz w:val="20"/>
          <w:szCs w:val="20"/>
        </w:rPr>
      </w:pPr>
    </w:p>
    <w:p w14:paraId="4D68E7CA" w14:textId="77777777" w:rsidR="006E4745" w:rsidRDefault="006E4745" w:rsidP="006E4745">
      <w:pPr>
        <w:pStyle w:val="NormalWeb"/>
        <w:rPr>
          <w:rFonts w:ascii="Arial" w:hAnsi="Arial" w:cs="Arial"/>
          <w:bCs/>
          <w:color w:val="000000"/>
          <w:sz w:val="20"/>
          <w:szCs w:val="20"/>
        </w:rPr>
      </w:pPr>
    </w:p>
    <w:p w14:paraId="4C910966" w14:textId="77777777" w:rsidR="006E4745" w:rsidRDefault="006E4745" w:rsidP="006E4745">
      <w:pPr>
        <w:pStyle w:val="NormalWeb"/>
        <w:rPr>
          <w:rFonts w:ascii="Arial" w:hAnsi="Arial" w:cs="Arial"/>
          <w:bCs/>
          <w:color w:val="000000"/>
          <w:sz w:val="20"/>
          <w:szCs w:val="20"/>
        </w:rPr>
      </w:pPr>
    </w:p>
    <w:p w14:paraId="73225FCC" w14:textId="77777777" w:rsidR="006E4745" w:rsidRDefault="006E4745" w:rsidP="006E4745">
      <w:pPr>
        <w:pStyle w:val="NormalWeb"/>
        <w:rPr>
          <w:rFonts w:ascii="Arial" w:hAnsi="Arial" w:cs="Arial"/>
          <w:bCs/>
          <w:color w:val="000000"/>
          <w:sz w:val="20"/>
          <w:szCs w:val="20"/>
        </w:rPr>
      </w:pPr>
    </w:p>
    <w:p w14:paraId="08C21BD6" w14:textId="77777777" w:rsidR="006E4745" w:rsidRDefault="006E4745" w:rsidP="006E4745">
      <w:pPr>
        <w:pStyle w:val="NormalWeb"/>
        <w:rPr>
          <w:rFonts w:ascii="Arial" w:hAnsi="Arial" w:cs="Arial"/>
          <w:bCs/>
          <w:color w:val="000000"/>
          <w:sz w:val="20"/>
          <w:szCs w:val="20"/>
        </w:rPr>
      </w:pPr>
    </w:p>
    <w:bookmarkEnd w:id="29"/>
    <w:p w14:paraId="10A158F5" w14:textId="77777777" w:rsidR="00916FF3" w:rsidRDefault="00916FF3"/>
    <w:p w14:paraId="1F2B2E7F" w14:textId="77777777" w:rsidR="006E4745" w:rsidRDefault="006E4745" w:rsidP="006E4745">
      <w:pPr>
        <w:pStyle w:val="NormalWeb"/>
        <w:rPr>
          <w:rFonts w:ascii="Arial" w:hAnsi="Arial" w:cs="Arial"/>
          <w:b/>
          <w:bCs/>
          <w:color w:val="000000"/>
          <w:sz w:val="20"/>
          <w:szCs w:val="20"/>
        </w:rPr>
      </w:pPr>
      <w:bookmarkStart w:id="30" w:name="OLE_LINK83"/>
      <w:bookmarkStart w:id="31" w:name="_Hlk141826745"/>
      <w:r>
        <w:rPr>
          <w:rFonts w:ascii="Arial" w:hAnsi="Arial" w:cs="Arial"/>
          <w:b/>
          <w:bCs/>
          <w:color w:val="000000"/>
          <w:sz w:val="20"/>
          <w:szCs w:val="20"/>
        </w:rPr>
        <w:lastRenderedPageBreak/>
        <w:t>Priority Sector Lending (PSL) targets / sub-targets and contribution against shortfall in achievement of PSL targets – Primary (Urban) Co-operative Banks (UCBs) - Extension of time</w:t>
      </w:r>
    </w:p>
    <w:bookmarkEnd w:id="30"/>
    <w:p w14:paraId="56A37881" w14:textId="77777777" w:rsidR="006E4745" w:rsidRDefault="006E4745" w:rsidP="006E4745">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RBI/2023-24/42</w:t>
      </w:r>
      <w:r>
        <w:rPr>
          <w:rFonts w:ascii="Arial" w:hAnsi="Arial" w:cs="Arial"/>
          <w:color w:val="000000"/>
          <w:sz w:val="20"/>
          <w:szCs w:val="20"/>
        </w:rPr>
        <w:br/>
        <w:t>DOR.CRE.REC.18/07.10.002/2023-24</w:t>
      </w:r>
    </w:p>
    <w:p w14:paraId="5852D9CF" w14:textId="77777777" w:rsidR="006E4745" w:rsidRDefault="006E4745" w:rsidP="006E4745">
      <w:pPr>
        <w:pStyle w:val="NormalWeb"/>
        <w:jc w:val="right"/>
        <w:rPr>
          <w:rFonts w:ascii="Arial" w:hAnsi="Arial" w:cs="Arial"/>
          <w:color w:val="000000"/>
          <w:sz w:val="20"/>
          <w:szCs w:val="20"/>
        </w:rPr>
      </w:pPr>
      <w:r>
        <w:rPr>
          <w:rFonts w:ascii="Arial" w:hAnsi="Arial" w:cs="Arial"/>
          <w:color w:val="000000"/>
          <w:sz w:val="20"/>
          <w:szCs w:val="20"/>
        </w:rPr>
        <w:t>June 8, 2023</w:t>
      </w:r>
    </w:p>
    <w:p w14:paraId="7D7AB815"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14:paraId="67F4EE52"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Madam / Dear Sir,</w:t>
      </w:r>
    </w:p>
    <w:p w14:paraId="3A67A0D2" w14:textId="77777777" w:rsidR="006E4745" w:rsidRDefault="006E4745" w:rsidP="006E4745">
      <w:pPr>
        <w:pStyle w:val="head"/>
        <w:jc w:val="both"/>
        <w:rPr>
          <w:rFonts w:ascii="Arial" w:hAnsi="Arial" w:cs="Arial"/>
          <w:b/>
          <w:bCs/>
          <w:color w:val="000000"/>
          <w:sz w:val="20"/>
          <w:szCs w:val="20"/>
        </w:rPr>
      </w:pPr>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p w14:paraId="34917ABF"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Please refer to para 3 of the </w:t>
      </w:r>
      <w:hyperlink r:id="rId71" w:tgtFrame="_blank" w:history="1">
        <w:r>
          <w:rPr>
            <w:rStyle w:val="Hyperlink"/>
            <w:rFonts w:ascii="Arial" w:hAnsi="Arial" w:cs="Arial"/>
            <w:sz w:val="20"/>
            <w:szCs w:val="20"/>
          </w:rPr>
          <w:t>circular DOR (PCB).</w:t>
        </w:r>
        <w:proofErr w:type="spellStart"/>
        <w:r>
          <w:rPr>
            <w:rStyle w:val="Hyperlink"/>
            <w:rFonts w:ascii="Arial" w:hAnsi="Arial" w:cs="Arial"/>
            <w:sz w:val="20"/>
            <w:szCs w:val="20"/>
          </w:rPr>
          <w:t>BPD.Cir</w:t>
        </w:r>
        <w:proofErr w:type="spellEnd"/>
        <w:r>
          <w:rPr>
            <w:rStyle w:val="Hyperlink"/>
            <w:rFonts w:ascii="Arial" w:hAnsi="Arial" w:cs="Arial"/>
            <w:sz w:val="20"/>
            <w:szCs w:val="20"/>
          </w:rPr>
          <w:t xml:space="preserve"> No.10/13.05.000/2019-20</w:t>
        </w:r>
        <w:r>
          <w:rPr>
            <w:rStyle w:val="Hyperlink"/>
            <w:rFonts w:ascii="Arial" w:hAnsi="Arial" w:cs="Arial"/>
            <w:sz w:val="15"/>
            <w:szCs w:val="15"/>
            <w:vertAlign w:val="superscript"/>
          </w:rPr>
          <w:t>1</w:t>
        </w:r>
        <w:r>
          <w:rPr>
            <w:rStyle w:val="Hyperlink"/>
            <w:rFonts w:ascii="Arial" w:hAnsi="Arial" w:cs="Arial"/>
            <w:sz w:val="20"/>
            <w:szCs w:val="20"/>
          </w:rPr>
          <w:t> dated March 13, 2020</w:t>
        </w:r>
      </w:hyperlink>
      <w:r>
        <w:rPr>
          <w:rFonts w:ascii="Arial" w:hAnsi="Arial" w:cs="Arial"/>
          <w:color w:val="000000"/>
          <w:sz w:val="20"/>
          <w:szCs w:val="20"/>
        </w:rPr>
        <w:t>, and para 5 of </w:t>
      </w:r>
      <w:hyperlink r:id="rId72"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in terms of which, a glide path for achieving overall PSL target and sub-target for advances to weaker sections was prescribed till March 31, 2024.</w:t>
      </w:r>
    </w:p>
    <w:p w14:paraId="4C1EBECA"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73" w:anchor="ANNN" w:history="1">
        <w:r>
          <w:rPr>
            <w:rStyle w:val="Hyperlink"/>
            <w:rFonts w:ascii="Arial" w:hAnsi="Arial" w:cs="Arial"/>
            <w:sz w:val="20"/>
            <w:szCs w:val="20"/>
          </w:rPr>
          <w:t>para no. 4 Annexed</w:t>
        </w:r>
      </w:hyperlink>
      <w:r>
        <w:rPr>
          <w:rFonts w:ascii="Arial" w:hAnsi="Arial" w:cs="Arial"/>
          <w:color w:val="000000"/>
          <w:sz w:val="20"/>
          <w:szCs w:val="20"/>
        </w:rPr>
        <w:t>), in order to address implementational challenges faced by the UCBs and to make the transition non-disruptive, it has been decided to extend the glide path for these PSL targets by an additional period of two years as under: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26"/>
        <w:gridCol w:w="1985"/>
        <w:gridCol w:w="2694"/>
      </w:tblGrid>
      <w:tr w:rsidR="006E4745" w14:paraId="5C394F4E" w14:textId="77777777" w:rsidTr="00781F9A">
        <w:tc>
          <w:tcPr>
            <w:tcW w:w="1188" w:type="pct"/>
            <w:tcMar>
              <w:top w:w="0" w:type="dxa"/>
              <w:left w:w="45" w:type="dxa"/>
              <w:bottom w:w="0" w:type="dxa"/>
              <w:right w:w="45" w:type="dxa"/>
            </w:tcMar>
            <w:hideMark/>
          </w:tcPr>
          <w:p w14:paraId="528A1736" w14:textId="77777777" w:rsidR="006E4745" w:rsidRDefault="006E4745" w:rsidP="00781F9A">
            <w:pPr>
              <w:jc w:val="center"/>
              <w:rPr>
                <w:rFonts w:ascii="Arial" w:hAnsi="Arial" w:cs="Arial"/>
                <w:b/>
                <w:bCs/>
                <w:color w:val="000000"/>
                <w:sz w:val="20"/>
                <w:szCs w:val="20"/>
              </w:rPr>
            </w:pPr>
            <w:r>
              <w:rPr>
                <w:rFonts w:ascii="Arial" w:hAnsi="Arial" w:cs="Arial"/>
                <w:b/>
                <w:bCs/>
                <w:color w:val="000000"/>
                <w:sz w:val="20"/>
                <w:szCs w:val="20"/>
              </w:rPr>
              <w:t>Financial Year ended</w:t>
            </w:r>
          </w:p>
        </w:tc>
        <w:tc>
          <w:tcPr>
            <w:tcW w:w="1191" w:type="pct"/>
            <w:tcMar>
              <w:top w:w="0" w:type="dxa"/>
              <w:left w:w="45" w:type="dxa"/>
              <w:bottom w:w="0" w:type="dxa"/>
              <w:right w:w="45" w:type="dxa"/>
            </w:tcMar>
            <w:hideMark/>
          </w:tcPr>
          <w:p w14:paraId="16A94591" w14:textId="77777777" w:rsidR="006E4745" w:rsidRDefault="006E4745" w:rsidP="00781F9A">
            <w:pPr>
              <w:jc w:val="center"/>
              <w:rPr>
                <w:rFonts w:ascii="Arial" w:hAnsi="Arial" w:cs="Arial"/>
                <w:b/>
                <w:bCs/>
                <w:color w:val="000000"/>
                <w:sz w:val="20"/>
                <w:szCs w:val="20"/>
              </w:rPr>
            </w:pPr>
            <w:r>
              <w:rPr>
                <w:rFonts w:ascii="Arial" w:hAnsi="Arial" w:cs="Arial"/>
                <w:b/>
                <w:bCs/>
                <w:color w:val="000000"/>
                <w:sz w:val="20"/>
                <w:szCs w:val="20"/>
              </w:rPr>
              <w:t>March 31, 2024</w:t>
            </w:r>
          </w:p>
        </w:tc>
        <w:tc>
          <w:tcPr>
            <w:tcW w:w="1112" w:type="pct"/>
            <w:tcMar>
              <w:top w:w="0" w:type="dxa"/>
              <w:left w:w="45" w:type="dxa"/>
              <w:bottom w:w="0" w:type="dxa"/>
              <w:right w:w="45" w:type="dxa"/>
            </w:tcMar>
            <w:hideMark/>
          </w:tcPr>
          <w:p w14:paraId="76DE8212" w14:textId="77777777" w:rsidR="006E4745" w:rsidRDefault="006E4745" w:rsidP="00781F9A">
            <w:pPr>
              <w:jc w:val="center"/>
              <w:rPr>
                <w:rFonts w:ascii="Arial" w:hAnsi="Arial" w:cs="Arial"/>
                <w:b/>
                <w:bCs/>
                <w:color w:val="000000"/>
                <w:sz w:val="20"/>
                <w:szCs w:val="20"/>
              </w:rPr>
            </w:pPr>
            <w:r>
              <w:rPr>
                <w:rFonts w:ascii="Arial" w:hAnsi="Arial" w:cs="Arial"/>
                <w:b/>
                <w:bCs/>
                <w:color w:val="000000"/>
                <w:sz w:val="20"/>
                <w:szCs w:val="20"/>
              </w:rPr>
              <w:t>March 31, 2025</w:t>
            </w:r>
          </w:p>
        </w:tc>
        <w:tc>
          <w:tcPr>
            <w:tcW w:w="1509" w:type="pct"/>
            <w:tcMar>
              <w:top w:w="0" w:type="dxa"/>
              <w:left w:w="45" w:type="dxa"/>
              <w:bottom w:w="0" w:type="dxa"/>
              <w:right w:w="45" w:type="dxa"/>
            </w:tcMar>
            <w:hideMark/>
          </w:tcPr>
          <w:p w14:paraId="5130E7CC" w14:textId="77777777" w:rsidR="006E4745" w:rsidRDefault="006E4745" w:rsidP="00781F9A">
            <w:pPr>
              <w:jc w:val="center"/>
              <w:rPr>
                <w:rFonts w:ascii="Arial" w:hAnsi="Arial" w:cs="Arial"/>
                <w:b/>
                <w:bCs/>
                <w:color w:val="000000"/>
                <w:sz w:val="20"/>
                <w:szCs w:val="20"/>
              </w:rPr>
            </w:pPr>
            <w:r>
              <w:rPr>
                <w:rFonts w:ascii="Arial" w:hAnsi="Arial" w:cs="Arial"/>
                <w:b/>
                <w:bCs/>
                <w:color w:val="000000"/>
                <w:sz w:val="20"/>
                <w:szCs w:val="20"/>
              </w:rPr>
              <w:t>March 31, 2026</w:t>
            </w:r>
          </w:p>
        </w:tc>
      </w:tr>
      <w:tr w:rsidR="006E4745" w14:paraId="4DB73F83" w14:textId="77777777" w:rsidTr="00781F9A">
        <w:tc>
          <w:tcPr>
            <w:tcW w:w="1188" w:type="pct"/>
            <w:tcMar>
              <w:top w:w="0" w:type="dxa"/>
              <w:left w:w="45" w:type="dxa"/>
              <w:bottom w:w="0" w:type="dxa"/>
              <w:right w:w="45" w:type="dxa"/>
            </w:tcMar>
            <w:hideMark/>
          </w:tcPr>
          <w:p w14:paraId="1DA44725" w14:textId="77777777" w:rsidR="006E4745" w:rsidRDefault="006E4745" w:rsidP="00781F9A">
            <w:pPr>
              <w:jc w:val="both"/>
              <w:rPr>
                <w:rFonts w:ascii="Arial" w:hAnsi="Arial" w:cs="Arial"/>
                <w:color w:val="000000"/>
                <w:sz w:val="20"/>
                <w:szCs w:val="20"/>
              </w:rPr>
            </w:pPr>
            <w:r>
              <w:rPr>
                <w:rFonts w:ascii="Arial" w:hAnsi="Arial" w:cs="Arial"/>
                <w:color w:val="000000"/>
                <w:sz w:val="20"/>
                <w:szCs w:val="20"/>
              </w:rPr>
              <w:t>Overall PSL Target</w:t>
            </w:r>
            <w:r>
              <w:rPr>
                <w:rFonts w:ascii="Arial" w:hAnsi="Arial" w:cs="Arial"/>
                <w:color w:val="000000"/>
                <w:sz w:val="15"/>
                <w:szCs w:val="15"/>
                <w:vertAlign w:val="superscript"/>
              </w:rPr>
              <w:t>@</w:t>
            </w:r>
          </w:p>
        </w:tc>
        <w:tc>
          <w:tcPr>
            <w:tcW w:w="1191" w:type="pct"/>
            <w:tcMar>
              <w:top w:w="0" w:type="dxa"/>
              <w:left w:w="45" w:type="dxa"/>
              <w:bottom w:w="0" w:type="dxa"/>
              <w:right w:w="45" w:type="dxa"/>
            </w:tcMar>
            <w:hideMark/>
          </w:tcPr>
          <w:p w14:paraId="424A07D2" w14:textId="77777777" w:rsidR="006E4745" w:rsidRDefault="006E4745" w:rsidP="00781F9A">
            <w:pPr>
              <w:jc w:val="center"/>
              <w:rPr>
                <w:rFonts w:ascii="Arial" w:hAnsi="Arial" w:cs="Arial"/>
                <w:color w:val="000000"/>
                <w:sz w:val="20"/>
                <w:szCs w:val="20"/>
              </w:rPr>
            </w:pPr>
            <w:r>
              <w:rPr>
                <w:rFonts w:ascii="Arial" w:hAnsi="Arial" w:cs="Arial"/>
                <w:color w:val="000000"/>
                <w:sz w:val="20"/>
                <w:szCs w:val="20"/>
              </w:rPr>
              <w:t>60% of ANBC</w:t>
            </w:r>
            <w:hyperlink r:id="rId74" w:anchor="F2" w:history="1">
              <w:r>
                <w:rPr>
                  <w:rStyle w:val="Hyperlink"/>
                  <w:rFonts w:ascii="Arial" w:hAnsi="Arial" w:cs="Arial"/>
                  <w:sz w:val="15"/>
                  <w:szCs w:val="15"/>
                  <w:vertAlign w:val="superscript"/>
                </w:rPr>
                <w:t>2</w:t>
              </w:r>
            </w:hyperlink>
            <w:r>
              <w:rPr>
                <w:rFonts w:ascii="Arial" w:hAnsi="Arial" w:cs="Arial"/>
                <w:color w:val="000000"/>
                <w:sz w:val="20"/>
                <w:szCs w:val="20"/>
              </w:rPr>
              <w:t> or</w:t>
            </w:r>
            <w:r>
              <w:rPr>
                <w:rFonts w:ascii="Arial" w:hAnsi="Arial" w:cs="Arial"/>
                <w:color w:val="000000"/>
                <w:sz w:val="20"/>
                <w:szCs w:val="20"/>
              </w:rPr>
              <w:br/>
              <w:t>CEOBSE</w:t>
            </w:r>
            <w:hyperlink r:id="rId75" w:anchor="F3" w:history="1">
              <w:r>
                <w:rPr>
                  <w:rStyle w:val="Hyperlink"/>
                  <w:rFonts w:ascii="Arial" w:hAnsi="Arial" w:cs="Arial"/>
                  <w:sz w:val="15"/>
                  <w:szCs w:val="15"/>
                  <w:vertAlign w:val="superscript"/>
                </w:rPr>
                <w:t>3</w:t>
              </w:r>
            </w:hyperlink>
            <w:r>
              <w:rPr>
                <w:rFonts w:ascii="Arial" w:hAnsi="Arial" w:cs="Arial"/>
                <w:color w:val="000000"/>
                <w:sz w:val="20"/>
                <w:szCs w:val="20"/>
              </w:rPr>
              <w:t>,</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2D1AD1AA" w14:textId="77777777" w:rsidR="006E4745" w:rsidRDefault="006E4745" w:rsidP="00781F9A">
            <w:pPr>
              <w:jc w:val="center"/>
              <w:rPr>
                <w:rFonts w:ascii="Arial" w:hAnsi="Arial" w:cs="Arial"/>
                <w:color w:val="000000"/>
                <w:sz w:val="20"/>
                <w:szCs w:val="20"/>
              </w:rPr>
            </w:pPr>
            <w:r>
              <w:rPr>
                <w:rFonts w:ascii="Arial" w:hAnsi="Arial" w:cs="Arial"/>
                <w:color w:val="000000"/>
                <w:sz w:val="20"/>
                <w:szCs w:val="20"/>
              </w:rPr>
              <w:t>65%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78EA4072" w14:textId="77777777" w:rsidR="006E4745" w:rsidRDefault="006E4745" w:rsidP="00781F9A">
            <w:pPr>
              <w:jc w:val="center"/>
              <w:rPr>
                <w:rFonts w:ascii="Arial" w:hAnsi="Arial" w:cs="Arial"/>
                <w:color w:val="000000"/>
                <w:sz w:val="20"/>
                <w:szCs w:val="20"/>
              </w:rPr>
            </w:pPr>
            <w:r>
              <w:rPr>
                <w:rFonts w:ascii="Arial" w:hAnsi="Arial" w:cs="Arial"/>
                <w:color w:val="000000"/>
                <w:sz w:val="20"/>
                <w:szCs w:val="20"/>
              </w:rPr>
              <w:t>75% of ANBC or</w:t>
            </w:r>
            <w:r>
              <w:rPr>
                <w:rFonts w:ascii="Arial" w:hAnsi="Arial" w:cs="Arial"/>
                <w:color w:val="000000"/>
                <w:sz w:val="20"/>
                <w:szCs w:val="20"/>
              </w:rPr>
              <w:br/>
              <w:t>CEOBSE,</w:t>
            </w:r>
            <w:r>
              <w:rPr>
                <w:rFonts w:ascii="Arial" w:hAnsi="Arial" w:cs="Arial"/>
                <w:color w:val="000000"/>
                <w:sz w:val="20"/>
                <w:szCs w:val="20"/>
              </w:rPr>
              <w:br/>
              <w:t>whichever is higher</w:t>
            </w:r>
          </w:p>
        </w:tc>
      </w:tr>
      <w:tr w:rsidR="006E4745" w14:paraId="548326E1" w14:textId="77777777" w:rsidTr="00781F9A">
        <w:tc>
          <w:tcPr>
            <w:tcW w:w="1188" w:type="pct"/>
            <w:tcMar>
              <w:top w:w="0" w:type="dxa"/>
              <w:left w:w="45" w:type="dxa"/>
              <w:bottom w:w="0" w:type="dxa"/>
              <w:right w:w="45" w:type="dxa"/>
            </w:tcMar>
            <w:hideMark/>
          </w:tcPr>
          <w:p w14:paraId="0A0C663A" w14:textId="77777777" w:rsidR="006E4745" w:rsidRDefault="006E4745" w:rsidP="00781F9A">
            <w:pPr>
              <w:rPr>
                <w:rFonts w:ascii="Arial" w:hAnsi="Arial" w:cs="Arial"/>
                <w:color w:val="000000"/>
                <w:sz w:val="20"/>
                <w:szCs w:val="20"/>
              </w:rPr>
            </w:pPr>
            <w:r>
              <w:rPr>
                <w:rFonts w:ascii="Arial" w:hAnsi="Arial" w:cs="Arial"/>
                <w:color w:val="000000"/>
                <w:sz w:val="20"/>
                <w:szCs w:val="20"/>
              </w:rPr>
              <w:t>Sub-target for advances to weaker sections</w:t>
            </w:r>
            <w:r>
              <w:rPr>
                <w:rFonts w:ascii="Arial" w:hAnsi="Arial" w:cs="Arial"/>
                <w:color w:val="000000"/>
                <w:sz w:val="15"/>
                <w:szCs w:val="15"/>
                <w:vertAlign w:val="superscript"/>
              </w:rPr>
              <w:t>#</w:t>
            </w:r>
            <w:r>
              <w:rPr>
                <w:rFonts w:ascii="Arial" w:hAnsi="Arial" w:cs="Arial"/>
                <w:color w:val="000000"/>
                <w:sz w:val="20"/>
                <w:szCs w:val="20"/>
              </w:rPr>
              <w:t>,</w:t>
            </w:r>
            <w:hyperlink r:id="rId76" w:anchor="F4" w:history="1">
              <w:r>
                <w:rPr>
                  <w:rStyle w:val="Hyperlink"/>
                  <w:rFonts w:ascii="Arial" w:hAnsi="Arial" w:cs="Arial"/>
                  <w:sz w:val="15"/>
                  <w:szCs w:val="15"/>
                  <w:vertAlign w:val="superscript"/>
                </w:rPr>
                <w:t>4</w:t>
              </w:r>
            </w:hyperlink>
          </w:p>
        </w:tc>
        <w:tc>
          <w:tcPr>
            <w:tcW w:w="1191" w:type="pct"/>
            <w:tcMar>
              <w:top w:w="0" w:type="dxa"/>
              <w:left w:w="45" w:type="dxa"/>
              <w:bottom w:w="0" w:type="dxa"/>
              <w:right w:w="45" w:type="dxa"/>
            </w:tcMar>
            <w:hideMark/>
          </w:tcPr>
          <w:p w14:paraId="18BA6630" w14:textId="77777777" w:rsidR="006E4745" w:rsidRDefault="006E4745" w:rsidP="00781F9A">
            <w:pPr>
              <w:jc w:val="center"/>
              <w:rPr>
                <w:rFonts w:ascii="Arial" w:hAnsi="Arial" w:cs="Arial"/>
                <w:color w:val="000000"/>
                <w:sz w:val="20"/>
                <w:szCs w:val="20"/>
              </w:rPr>
            </w:pPr>
            <w:r>
              <w:rPr>
                <w:rFonts w:ascii="Arial" w:hAnsi="Arial" w:cs="Arial"/>
                <w:color w:val="000000"/>
                <w:sz w:val="20"/>
                <w:szCs w:val="20"/>
              </w:rPr>
              <w:t>11.50%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41EEEBDF" w14:textId="77777777" w:rsidR="006E4745" w:rsidRDefault="006E4745" w:rsidP="00781F9A">
            <w:pPr>
              <w:jc w:val="center"/>
              <w:rPr>
                <w:rFonts w:ascii="Arial" w:hAnsi="Arial" w:cs="Arial"/>
                <w:color w:val="000000"/>
                <w:sz w:val="20"/>
                <w:szCs w:val="20"/>
              </w:rPr>
            </w:pPr>
            <w:r>
              <w:rPr>
                <w:rFonts w:ascii="Arial" w:hAnsi="Arial" w:cs="Arial"/>
                <w:color w:val="000000"/>
                <w:sz w:val="20"/>
                <w:szCs w:val="20"/>
              </w:rPr>
              <w:t>11.75% of ANBC or 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05DB98D7" w14:textId="77777777" w:rsidR="006E4745" w:rsidRDefault="006E4745" w:rsidP="00781F9A">
            <w:pPr>
              <w:jc w:val="center"/>
              <w:rPr>
                <w:rFonts w:ascii="Arial" w:hAnsi="Arial" w:cs="Arial"/>
                <w:color w:val="000000"/>
                <w:sz w:val="20"/>
                <w:szCs w:val="20"/>
              </w:rPr>
            </w:pPr>
            <w:r>
              <w:rPr>
                <w:rFonts w:ascii="Arial" w:hAnsi="Arial" w:cs="Arial"/>
                <w:color w:val="000000"/>
                <w:sz w:val="20"/>
                <w:szCs w:val="20"/>
              </w:rPr>
              <w:t>12.00% of ANBC</w:t>
            </w:r>
            <w:r>
              <w:rPr>
                <w:rFonts w:ascii="Arial" w:hAnsi="Arial" w:cs="Arial"/>
                <w:color w:val="000000"/>
                <w:sz w:val="20"/>
                <w:szCs w:val="20"/>
              </w:rPr>
              <w:br/>
              <w:t>or CEOBSE,</w:t>
            </w:r>
            <w:r>
              <w:rPr>
                <w:rFonts w:ascii="Arial" w:hAnsi="Arial" w:cs="Arial"/>
                <w:color w:val="000000"/>
                <w:sz w:val="20"/>
                <w:szCs w:val="20"/>
              </w:rPr>
              <w:br/>
              <w:t>whichever is higher</w:t>
            </w:r>
          </w:p>
        </w:tc>
      </w:tr>
      <w:tr w:rsidR="006E4745" w14:paraId="6B55B10D" w14:textId="77777777" w:rsidTr="00781F9A">
        <w:tc>
          <w:tcPr>
            <w:tcW w:w="5000" w:type="pct"/>
            <w:gridSpan w:val="4"/>
            <w:tcMar>
              <w:top w:w="0" w:type="dxa"/>
              <w:left w:w="45" w:type="dxa"/>
              <w:bottom w:w="0" w:type="dxa"/>
              <w:right w:w="45" w:type="dxa"/>
            </w:tcMar>
            <w:hideMark/>
          </w:tcPr>
          <w:p w14:paraId="4677571C" w14:textId="77777777" w:rsidR="006E4745" w:rsidRDefault="006E4745" w:rsidP="00781F9A">
            <w:pPr>
              <w:jc w:val="both"/>
              <w:rPr>
                <w:rFonts w:ascii="Arial" w:hAnsi="Arial" w:cs="Arial"/>
                <w:color w:val="000000"/>
                <w:sz w:val="20"/>
                <w:szCs w:val="20"/>
              </w:rPr>
            </w:pPr>
            <w:r>
              <w:rPr>
                <w:rFonts w:ascii="Arial" w:hAnsi="Arial" w:cs="Arial"/>
                <w:color w:val="000000"/>
                <w:sz w:val="20"/>
                <w:szCs w:val="20"/>
              </w:rPr>
              <w:t>@ The targets for March 31, 2023 (at 60 %) shall continue till March 31, 2024.</w:t>
            </w:r>
            <w:r>
              <w:rPr>
                <w:rFonts w:ascii="Arial" w:hAnsi="Arial" w:cs="Arial"/>
                <w:color w:val="000000"/>
                <w:sz w:val="20"/>
                <w:szCs w:val="20"/>
              </w:rPr>
              <w:br/>
              <w:t># The sub-target set for March 31, 2023 (at 11.50%) shall continue till March 31, 2024.</w:t>
            </w:r>
          </w:p>
        </w:tc>
      </w:tr>
    </w:tbl>
    <w:p w14:paraId="51761E6E"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3. In terms of para 28 of </w:t>
      </w:r>
      <w:hyperlink r:id="rId77"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and para 2 of the </w:t>
      </w:r>
      <w:hyperlink r:id="rId78" w:tgtFrame="_blank" w:history="1">
        <w:r>
          <w:rPr>
            <w:rStyle w:val="Hyperlink"/>
            <w:rFonts w:ascii="Arial" w:hAnsi="Arial" w:cs="Arial"/>
            <w:sz w:val="20"/>
            <w:szCs w:val="20"/>
          </w:rPr>
          <w:t>circular DOR (PCB).BPD.Cir.No.12/09.09.002/2019-20</w:t>
        </w:r>
        <w:r>
          <w:rPr>
            <w:rStyle w:val="Hyperlink"/>
            <w:rFonts w:ascii="Arial" w:hAnsi="Arial" w:cs="Arial"/>
            <w:sz w:val="15"/>
            <w:szCs w:val="15"/>
            <w:vertAlign w:val="superscript"/>
          </w:rPr>
          <w:t>5</w:t>
        </w:r>
        <w:r>
          <w:rPr>
            <w:rStyle w:val="Hyperlink"/>
            <w:rFonts w:ascii="Arial" w:hAnsi="Arial" w:cs="Arial"/>
            <w:sz w:val="20"/>
            <w:szCs w:val="20"/>
          </w:rPr>
          <w:t> dated April 24, 2020</w:t>
        </w:r>
      </w:hyperlink>
      <w:r>
        <w:rPr>
          <w:rFonts w:ascii="Arial" w:hAnsi="Arial" w:cs="Arial"/>
          <w:color w:val="000000"/>
          <w:sz w:val="20"/>
          <w:szCs w:val="20"/>
        </w:rPr>
        <w:t>, all UCBs (excluding those under all-inclusive directions), were advised to contribute to Rural Infrastructure Development Fund (RIDF) established with NABARD and other Funds with NABARD / NHB / SIDBI / MUDRA Ltd., against their PSL shortfall vis-à-vis the prescribed target/ sub-targets, with effect from March 31, 2021.</w:t>
      </w:r>
    </w:p>
    <w:p w14:paraId="3B7A5294" w14:textId="77777777" w:rsidR="006E4745" w:rsidRDefault="006E4745" w:rsidP="006E4745">
      <w:pPr>
        <w:pStyle w:val="NormalWeb"/>
        <w:jc w:val="both"/>
        <w:rPr>
          <w:rFonts w:ascii="Arial" w:hAnsi="Arial" w:cs="Arial"/>
          <w:color w:val="000000"/>
          <w:sz w:val="20"/>
          <w:szCs w:val="20"/>
        </w:rPr>
      </w:pPr>
      <w:r>
        <w:rPr>
          <w:rFonts w:ascii="Arial" w:hAnsi="Arial" w:cs="Arial"/>
          <w:color w:val="000000"/>
          <w:sz w:val="20"/>
          <w:szCs w:val="20"/>
        </w:rPr>
        <w:t>Yours faithfully,</w:t>
      </w:r>
    </w:p>
    <w:p w14:paraId="5EBED1D4" w14:textId="77777777" w:rsidR="006E4745" w:rsidRDefault="006E4745" w:rsidP="006E4745">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9849897" w14:textId="77777777" w:rsidR="006E4745" w:rsidRDefault="006E4745" w:rsidP="006E4745">
      <w:pPr>
        <w:spacing w:before="240" w:after="0"/>
      </w:pPr>
      <w:r>
        <w:t>More details can be referred to in the below link.</w:t>
      </w:r>
    </w:p>
    <w:p w14:paraId="4EDECC3F" w14:textId="77777777" w:rsidR="006E4745" w:rsidRDefault="006E4745" w:rsidP="006E4745">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9" w:history="1">
        <w:r w:rsidRPr="005F425E">
          <w:rPr>
            <w:rStyle w:val="Hyperlink"/>
            <w:rFonts w:ascii="Arial" w:hAnsi="Arial" w:cs="Arial"/>
            <w:bCs/>
            <w:sz w:val="20"/>
            <w:szCs w:val="20"/>
          </w:rPr>
          <w:t>https://rbi.org.in/Scripts/NotificationUser.aspx?Id=12515&amp;Mode=0</w:t>
        </w:r>
      </w:hyperlink>
    </w:p>
    <w:p w14:paraId="7B46C5BD" w14:textId="77777777" w:rsidR="006E4745" w:rsidRDefault="006E4745">
      <w:bookmarkStart w:id="32" w:name="_GoBack"/>
      <w:bookmarkEnd w:id="31"/>
      <w:bookmarkEnd w:id="32"/>
    </w:p>
    <w:sectPr w:rsidR="006E4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E2"/>
    <w:rsid w:val="001A4BE2"/>
    <w:rsid w:val="001C3B05"/>
    <w:rsid w:val="001E0EE2"/>
    <w:rsid w:val="00421B1F"/>
    <w:rsid w:val="00557175"/>
    <w:rsid w:val="005F7471"/>
    <w:rsid w:val="006E4745"/>
    <w:rsid w:val="00705377"/>
    <w:rsid w:val="00916FF3"/>
    <w:rsid w:val="00AD7881"/>
    <w:rsid w:val="00CA0B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CCE9"/>
  <w15:chartTrackingRefBased/>
  <w15:docId w15:val="{EA72D23B-67A0-48A5-B9F6-952683A7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FF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916FF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16FF3"/>
    <w:rPr>
      <w:color w:val="0000FF"/>
      <w:u w:val="single"/>
    </w:rPr>
  </w:style>
  <w:style w:type="character" w:customStyle="1" w:styleId="head1">
    <w:name w:val="head1"/>
    <w:basedOn w:val="DefaultParagraphFont"/>
    <w:rsid w:val="0091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3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418&amp;Mode=0" TargetMode="External"/><Relationship Id="rId18" Type="http://schemas.openxmlformats.org/officeDocument/2006/relationships/hyperlink" Target="https://rbi.org.in/Scripts/NotificationUser.aspx?Id=12468&amp;Mode=0" TargetMode="External"/><Relationship Id="rId26" Type="http://schemas.openxmlformats.org/officeDocument/2006/relationships/hyperlink" Target="https://rbi.org.in/Scripts/NotificationUser.aspx?Id=12473&amp;Mode=0" TargetMode="External"/><Relationship Id="rId39" Type="http://schemas.openxmlformats.org/officeDocument/2006/relationships/hyperlink" Target="https://rbi.org.in/Scripts/NotificationUser.aspx?Id=12490&amp;Mode=0" TargetMode="External"/><Relationship Id="rId21" Type="http://schemas.openxmlformats.org/officeDocument/2006/relationships/hyperlink" Target="https://www.rbi.org.in/Scripts/BS_ViewMasCirculardetails.aspx?id=12272" TargetMode="External"/><Relationship Id="rId34" Type="http://schemas.openxmlformats.org/officeDocument/2006/relationships/hyperlink" Target="https://rbi.org.in/" TargetMode="External"/><Relationship Id="rId42" Type="http://schemas.openxmlformats.org/officeDocument/2006/relationships/hyperlink" Target="https://rbi.org.in/Scripts/BS_ViewMasCirculardetails.aspx?id=12283" TargetMode="External"/><Relationship Id="rId47" Type="http://schemas.openxmlformats.org/officeDocument/2006/relationships/hyperlink" Target="https://rbi.org.in/Scripts/NotificationUser.aspx?Id=12492&amp;Mode=0" TargetMode="External"/><Relationship Id="rId50" Type="http://schemas.openxmlformats.org/officeDocument/2006/relationships/hyperlink" Target="https://rbi.org.in/Scripts/NotificationUser.aspx?Id=12493&amp;Mode=0" TargetMode="External"/><Relationship Id="rId55" Type="http://schemas.openxmlformats.org/officeDocument/2006/relationships/hyperlink" Target="https://www.rbi.org.in/Scripts/BS_ViewMasDirections.aspx?id=11566" TargetMode="External"/><Relationship Id="rId63" Type="http://schemas.openxmlformats.org/officeDocument/2006/relationships/hyperlink" Target="https://www.rbi.org.in/Scripts/BS_PressReleaseDisplay.aspx?prid=55815" TargetMode="External"/><Relationship Id="rId68" Type="http://schemas.openxmlformats.org/officeDocument/2006/relationships/hyperlink" Target="https://rbi.org.in/Scripts/NotificationUser.aspx?Id=12514&amp;Mode=0" TargetMode="External"/><Relationship Id="rId76" Type="http://schemas.openxmlformats.org/officeDocument/2006/relationships/hyperlink" Target="https://rbi.org.in/Scripts/NotificationUser.aspx?Id=12515&amp;Mode=0" TargetMode="External"/><Relationship Id="rId7" Type="http://schemas.openxmlformats.org/officeDocument/2006/relationships/hyperlink" Target="https://www.rbi.org.in/Scripts/NotificationUser.aspx?Id=12146&amp;Mode=0" TargetMode="External"/><Relationship Id="rId71" Type="http://schemas.openxmlformats.org/officeDocument/2006/relationships/hyperlink" Target="https://www.rbi.org.in/Scripts/NotificationUser.aspx?Id=11819&amp;Mode=0" TargetMode="External"/><Relationship Id="rId2" Type="http://schemas.openxmlformats.org/officeDocument/2006/relationships/styles" Target="styles.xml"/><Relationship Id="rId16" Type="http://schemas.openxmlformats.org/officeDocument/2006/relationships/hyperlink" Target="https://rbi.org.in/Scripts/NotificationUser.aspx?Id=12467&amp;Mode=0" TargetMode="External"/><Relationship Id="rId29" Type="http://schemas.openxmlformats.org/officeDocument/2006/relationships/hyperlink" Target="https://rbi.org.in/Scripts/NotificationUser.aspx?Id=12479&amp;Mode=0" TargetMode="External"/><Relationship Id="rId11" Type="http://schemas.openxmlformats.org/officeDocument/2006/relationships/hyperlink" Target="https://rbi.org.in/Scripts/BS_ViewMasDirections.aspx?id=12158" TargetMode="External"/><Relationship Id="rId24" Type="http://schemas.openxmlformats.org/officeDocument/2006/relationships/hyperlink" Target="https://rbi.org.in/Scripts/NotificationUser.aspx?Id=12469&amp;Mode=0" TargetMode="External"/><Relationship Id="rId32" Type="http://schemas.openxmlformats.org/officeDocument/2006/relationships/hyperlink" Target="https://rbi.org.in/Scripts/BS_ViewMasCirculardetails.aspx?id=12344" TargetMode="External"/><Relationship Id="rId37" Type="http://schemas.openxmlformats.org/officeDocument/2006/relationships/hyperlink" Target="https://www.rbi.org.in/Scripts/BS_ViewMasCirculardetails.aspx?id=12279" TargetMode="External"/><Relationship Id="rId40" Type="http://schemas.openxmlformats.org/officeDocument/2006/relationships/hyperlink" Target="https://rbi.org.in/Scripts/NotificationUser.aspx?Id=12490&amp;Mode=0" TargetMode="External"/><Relationship Id="rId45" Type="http://schemas.openxmlformats.org/officeDocument/2006/relationships/hyperlink" Target="https://rbi.org.in/scripts/NotificationUser.aspx?Id=8603&amp;Mode=0" TargetMode="External"/><Relationship Id="rId53" Type="http://schemas.openxmlformats.org/officeDocument/2006/relationships/hyperlink" Target="https://www.rbi.org.in/Scripts/BS_ViewMasDirections.aspx?id=11566" TargetMode="External"/><Relationship Id="rId58" Type="http://schemas.openxmlformats.org/officeDocument/2006/relationships/hyperlink" Target="https://www.rbi.org.in/Scripts/BS_ViewMasCirculardetails.aspx?id=12283" TargetMode="External"/><Relationship Id="rId66" Type="http://schemas.openxmlformats.org/officeDocument/2006/relationships/hyperlink" Target="https://rbi.org.in/Scripts/BS_PressReleaseDisplay.aspx?prid=54187" TargetMode="External"/><Relationship Id="rId74" Type="http://schemas.openxmlformats.org/officeDocument/2006/relationships/hyperlink" Target="https://rbi.org.in/Scripts/NotificationUser.aspx?Id=12515&amp;Mode=0" TargetMode="External"/><Relationship Id="rId79" Type="http://schemas.openxmlformats.org/officeDocument/2006/relationships/hyperlink" Target="https://rbi.org.in/Scripts/NotificationUser.aspx?Id=12515&amp;Mode=0" TargetMode="External"/><Relationship Id="rId5" Type="http://schemas.openxmlformats.org/officeDocument/2006/relationships/hyperlink" Target="https://rbi.org.in/Scripts/NotificationUser.aspx?Id=12146&amp;Mode=0" TargetMode="External"/><Relationship Id="rId61" Type="http://schemas.openxmlformats.org/officeDocument/2006/relationships/hyperlink" Target="https://rbi.org.in/Scripts/NotificationUser.aspx?Id=12499&amp;Mode=0" TargetMode="External"/><Relationship Id="rId10" Type="http://schemas.openxmlformats.org/officeDocument/2006/relationships/hyperlink" Target="https://rbi.org.in/Scripts/BS_ViewMasDirections.aspx?id=12158" TargetMode="External"/><Relationship Id="rId19" Type="http://schemas.openxmlformats.org/officeDocument/2006/relationships/hyperlink" Target="https://rbi.org.in/Scripts/NotificationUser.aspx?Id=12468&amp;Mode=0" TargetMode="External"/><Relationship Id="rId31" Type="http://schemas.openxmlformats.org/officeDocument/2006/relationships/hyperlink" Target="https://rbi.org.in/Scripts/NotificationUser.aspx?Id=12480&amp;Mode=0" TargetMode="External"/><Relationship Id="rId44" Type="http://schemas.openxmlformats.org/officeDocument/2006/relationships/hyperlink" Target="https://rbi.org.in/Scripts/NotificationUser.aspx?Id=12491&amp;Mode=0" TargetMode="External"/><Relationship Id="rId52" Type="http://schemas.openxmlformats.org/officeDocument/2006/relationships/hyperlink" Target="https://rbidocs.rbi.org.in/rdocs/content/pdfs/NT2428042023_AN.pdf" TargetMode="External"/><Relationship Id="rId60" Type="http://schemas.openxmlformats.org/officeDocument/2006/relationships/hyperlink" Target="https://rbi.org.in/Scripts/NotificationUser.aspx?Id=12499&amp;Mode=0" TargetMode="External"/><Relationship Id="rId65" Type="http://schemas.openxmlformats.org/officeDocument/2006/relationships/hyperlink" Target="https://rbi.org.in/Scripts/NotificationUser.aspx?Id=12513&amp;Mode=0" TargetMode="External"/><Relationship Id="rId73" Type="http://schemas.openxmlformats.org/officeDocument/2006/relationships/hyperlink" Target="https://rbi.org.in/Scripts/NotificationUser.aspx?Id=12515&amp;Mode=0" TargetMode="External"/><Relationship Id="rId78" Type="http://schemas.openxmlformats.org/officeDocument/2006/relationships/hyperlink" Target="https://www.rbi.org.in/Scripts/NotificationUser.aspx?Id=11879&amp;Mode=0"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Scripts/NotificationUser.aspx?Id=12443&amp;Mode=0" TargetMode="External"/><Relationship Id="rId14" Type="http://schemas.openxmlformats.org/officeDocument/2006/relationships/hyperlink" Target="https://rbi.org.in/Scripts/NotificationUser.aspx?Id=12465&amp;Mode=0" TargetMode="External"/><Relationship Id="rId22" Type="http://schemas.openxmlformats.org/officeDocument/2006/relationships/hyperlink" Target="https://rbi.org.in/" TargetMode="External"/><Relationship Id="rId27" Type="http://schemas.openxmlformats.org/officeDocument/2006/relationships/hyperlink" Target="https://rbi.org.in/Scripts/NotificationUser.aspx?Id=12473&amp;Mode=0" TargetMode="External"/><Relationship Id="rId30" Type="http://schemas.openxmlformats.org/officeDocument/2006/relationships/hyperlink" Target="https://rbi.org.in/Scripts/NotificationUser.aspx?Id=12480&amp;Mode=0" TargetMode="External"/><Relationship Id="rId35" Type="http://schemas.openxmlformats.org/officeDocument/2006/relationships/hyperlink" Target="https://rbi.org.in/Scripts/BS_ViewMasCirculardetails.aspx?id=12488" TargetMode="External"/><Relationship Id="rId43" Type="http://schemas.openxmlformats.org/officeDocument/2006/relationships/hyperlink" Target="https://www.rbi.org.in/scripts/NotificationUser.aspx?Id=4970&amp;Mode=0" TargetMode="External"/><Relationship Id="rId48" Type="http://schemas.openxmlformats.org/officeDocument/2006/relationships/hyperlink" Target="https://www.rbi.org.in/Scripts/BS_ViewMasCirculardetails.aspx?id=12360" TargetMode="External"/><Relationship Id="rId56" Type="http://schemas.openxmlformats.org/officeDocument/2006/relationships/hyperlink" Target="https://rbidocs.rbi.org.in/rdocs/content/pdfs/NT2504052023_AN.pdf" TargetMode="External"/><Relationship Id="rId64" Type="http://schemas.openxmlformats.org/officeDocument/2006/relationships/hyperlink" Target="https://rbi.org.in/Scripts/NotificationUser.aspx?Id=12513&amp;Mode=0" TargetMode="External"/><Relationship Id="rId69" Type="http://schemas.openxmlformats.org/officeDocument/2006/relationships/hyperlink" Target="https://rbi.org.in/Scripts/NotificationUser.aspx?Id=12514&amp;Mode=0" TargetMode="External"/><Relationship Id="rId77" Type="http://schemas.openxmlformats.org/officeDocument/2006/relationships/hyperlink" Target="https://rbi.org.in/Scripts/BS_ViewMasDirections.aspx?id=11959" TargetMode="External"/><Relationship Id="rId8" Type="http://schemas.openxmlformats.org/officeDocument/2006/relationships/hyperlink" Target="https://www.rbi.org.in/Scripts/NotificationUser.aspx?Id=12146&amp;Mode=0" TargetMode="External"/><Relationship Id="rId51" Type="http://schemas.openxmlformats.org/officeDocument/2006/relationships/hyperlink" Target="https://www.rbi.org.in/Scripts/BS_ViewMasDirections.aspx?id=11566" TargetMode="External"/><Relationship Id="rId72" Type="http://schemas.openxmlformats.org/officeDocument/2006/relationships/hyperlink" Target="https://rbi.org.in/Scripts/BS_ViewMasDirections.aspx?id=11959"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bi.org.in/Scripts/NotificationUser.aspx?Id=12457&amp;Mode=0" TargetMode="External"/><Relationship Id="rId17" Type="http://schemas.openxmlformats.org/officeDocument/2006/relationships/hyperlink" Target="https://rbi.org.in/Scripts/NotificationUser.aspx?Id=12467&amp;Mode=0" TargetMode="External"/><Relationship Id="rId25" Type="http://schemas.openxmlformats.org/officeDocument/2006/relationships/hyperlink" Target="https://rbi.org.in/Scripts/NotificationUser.aspx?Id=12469&amp;Mode=0" TargetMode="External"/><Relationship Id="rId33" Type="http://schemas.openxmlformats.org/officeDocument/2006/relationships/hyperlink" Target="https://rbi.org.in/" TargetMode="External"/><Relationship Id="rId38" Type="http://schemas.openxmlformats.org/officeDocument/2006/relationships/hyperlink" Target="https://rbi.org.in/Scripts/NotificationUser.aspx?Id=12490&amp;Mode=0" TargetMode="External"/><Relationship Id="rId46" Type="http://schemas.openxmlformats.org/officeDocument/2006/relationships/hyperlink" Target="https://rbi.org.in/Scripts/BS_ViewMasDirections.aspx?id=12300" TargetMode="External"/><Relationship Id="rId59" Type="http://schemas.openxmlformats.org/officeDocument/2006/relationships/hyperlink" Target="https://rbi.org.in/Scripts/NotificationUser.aspx?Id=12499&amp;Mode=0" TargetMode="External"/><Relationship Id="rId67" Type="http://schemas.openxmlformats.org/officeDocument/2006/relationships/hyperlink" Target="https://rbi.org.in/Scripts/NotificationUser.aspx?Id=12514&amp;Mode=0" TargetMode="External"/><Relationship Id="rId20" Type="http://schemas.openxmlformats.org/officeDocument/2006/relationships/hyperlink" Target="https://rbi.org.in/Scripts/NotificationUser.aspx?Id=12468&amp;Mode=0" TargetMode="External"/><Relationship Id="rId41" Type="http://schemas.openxmlformats.org/officeDocument/2006/relationships/hyperlink" Target="https://www.rbi.org.in/Scripts/NotificationUser.aspx?Id=12416&amp;Mode=0" TargetMode="External"/><Relationship Id="rId54" Type="http://schemas.openxmlformats.org/officeDocument/2006/relationships/hyperlink" Target="https://rbi.org.in/Scripts/NotificationUser.aspx?Id=12497&amp;Mode=0" TargetMode="External"/><Relationship Id="rId62" Type="http://schemas.openxmlformats.org/officeDocument/2006/relationships/hyperlink" Target="https://www.rbi.org.in/Scripts/NotificationUser.aspx?Id=11580&amp;Mode=0" TargetMode="External"/><Relationship Id="rId70" Type="http://schemas.openxmlformats.org/officeDocument/2006/relationships/hyperlink" Target="https://rbi.org.in/Scripts/NotificationUser.aspx?Id=12514&amp;Mode=0" TargetMode="External"/><Relationship Id="rId75" Type="http://schemas.openxmlformats.org/officeDocument/2006/relationships/hyperlink" Target="https://rbi.org.in/Scripts/NotificationUser.aspx?Id=12515&amp;Mode=0" TargetMode="External"/><Relationship Id="rId1" Type="http://schemas.openxmlformats.org/officeDocument/2006/relationships/numbering" Target="numbering.xml"/><Relationship Id="rId6" Type="http://schemas.openxmlformats.org/officeDocument/2006/relationships/hyperlink" Target="https://prism.rbi.org.in/DAKSH/portal/" TargetMode="External"/><Relationship Id="rId15" Type="http://schemas.openxmlformats.org/officeDocument/2006/relationships/hyperlink" Target="https://rbi.org.in/Scripts/NotificationUser.aspx?Id=12467&amp;Mode=0" TargetMode="External"/><Relationship Id="rId23" Type="http://schemas.openxmlformats.org/officeDocument/2006/relationships/hyperlink" Target="https://rbi.org.in/Scripts/NotificationUser.aspx?Id=12469&amp;Mode=0" TargetMode="External"/><Relationship Id="rId28" Type="http://schemas.openxmlformats.org/officeDocument/2006/relationships/hyperlink" Target="https://rbi.org.in/Scripts/NotificationUser.aspx?Id=12479&amp;Mode=0" TargetMode="External"/><Relationship Id="rId36" Type="http://schemas.openxmlformats.org/officeDocument/2006/relationships/hyperlink" Target="https://rbi.org.in/Scripts/BS_ViewMasCirculardetails.aspx?id=12488" TargetMode="External"/><Relationship Id="rId49" Type="http://schemas.openxmlformats.org/officeDocument/2006/relationships/hyperlink" Target="https://rbi.org.in/Scripts/NotificationUser.aspx?Id=12493&amp;Mode=0" TargetMode="External"/><Relationship Id="rId57" Type="http://schemas.openxmlformats.org/officeDocument/2006/relationships/hyperlink" Target="https://rbi.org.in/Scripts/NotificationUser.aspx?Id=1249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5558</Words>
  <Characters>31686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10</cp:revision>
  <dcterms:created xsi:type="dcterms:W3CDTF">2023-08-01T16:10:00Z</dcterms:created>
  <dcterms:modified xsi:type="dcterms:W3CDTF">2023-08-02T06:42:00Z</dcterms:modified>
</cp:coreProperties>
</file>